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F8FE" w:themeFill="background2"/>
        <w:tblCellMar>
          <w:left w:w="57" w:type="dxa"/>
          <w:right w:w="57" w:type="dxa"/>
        </w:tblCellMar>
        <w:tblLook w:val="04A0" w:firstRow="1" w:lastRow="0" w:firstColumn="1" w:lastColumn="0" w:noHBand="0" w:noVBand="1"/>
      </w:tblPr>
      <w:tblGrid>
        <w:gridCol w:w="2820"/>
        <w:gridCol w:w="6029"/>
      </w:tblGrid>
      <w:tr w:rsidR="002623EB" w:rsidRPr="008A6A04" w14:paraId="7A8B71AE" w14:textId="77777777" w:rsidTr="002623EB">
        <w:tc>
          <w:tcPr>
            <w:tcW w:w="2820" w:type="dxa"/>
            <w:shd w:val="clear" w:color="auto" w:fill="EFF8FE" w:themeFill="background2"/>
          </w:tcPr>
          <w:p w14:paraId="4B590F44" w14:textId="77777777" w:rsidR="002623EB" w:rsidRPr="008A6A04" w:rsidRDefault="002623EB" w:rsidP="009F6019">
            <w:pPr>
              <w:autoSpaceDE w:val="0"/>
              <w:autoSpaceDN w:val="0"/>
              <w:adjustRightInd w:val="0"/>
              <w:rPr>
                <w:rFonts w:cstheme="minorHAnsi"/>
                <w:b/>
                <w:sz w:val="24"/>
                <w:szCs w:val="24"/>
              </w:rPr>
            </w:pPr>
            <w:r w:rsidRPr="008A6A04">
              <w:rPr>
                <w:rFonts w:cstheme="minorHAnsi"/>
                <w:b/>
                <w:sz w:val="24"/>
                <w:szCs w:val="24"/>
              </w:rPr>
              <w:t>Organisation</w:t>
            </w:r>
          </w:p>
        </w:tc>
        <w:tc>
          <w:tcPr>
            <w:tcW w:w="6029" w:type="dxa"/>
            <w:shd w:val="clear" w:color="auto" w:fill="EFF8FE" w:themeFill="background2"/>
          </w:tcPr>
          <w:p w14:paraId="32AB8EA0" w14:textId="77777777" w:rsidR="002623EB" w:rsidRPr="008A6A04" w:rsidRDefault="002623EB" w:rsidP="009F6019">
            <w:pPr>
              <w:autoSpaceDE w:val="0"/>
              <w:autoSpaceDN w:val="0"/>
              <w:adjustRightInd w:val="0"/>
              <w:jc w:val="both"/>
              <w:rPr>
                <w:rFonts w:cstheme="minorHAnsi"/>
                <w:b/>
                <w:sz w:val="24"/>
                <w:szCs w:val="24"/>
              </w:rPr>
            </w:pPr>
            <w:r w:rsidRPr="008A6A04">
              <w:rPr>
                <w:rFonts w:cstheme="minorHAnsi"/>
                <w:b/>
                <w:sz w:val="24"/>
                <w:szCs w:val="24"/>
              </w:rPr>
              <w:t xml:space="preserve">SNV </w:t>
            </w:r>
          </w:p>
        </w:tc>
      </w:tr>
      <w:tr w:rsidR="002623EB" w:rsidRPr="008A6A04" w14:paraId="63FB6A2E" w14:textId="77777777" w:rsidTr="002623EB">
        <w:tc>
          <w:tcPr>
            <w:tcW w:w="2820" w:type="dxa"/>
            <w:shd w:val="clear" w:color="auto" w:fill="EFF8FE" w:themeFill="background2"/>
          </w:tcPr>
          <w:p w14:paraId="52950D15" w14:textId="77777777" w:rsidR="002623EB" w:rsidRPr="008A6A04" w:rsidRDefault="002623EB" w:rsidP="009F6019">
            <w:pPr>
              <w:autoSpaceDE w:val="0"/>
              <w:autoSpaceDN w:val="0"/>
              <w:adjustRightInd w:val="0"/>
              <w:rPr>
                <w:rFonts w:cstheme="minorHAnsi"/>
                <w:b/>
                <w:sz w:val="24"/>
                <w:szCs w:val="24"/>
              </w:rPr>
            </w:pPr>
            <w:r w:rsidRPr="008A6A04">
              <w:rPr>
                <w:rFonts w:cstheme="minorHAnsi"/>
                <w:b/>
                <w:sz w:val="24"/>
                <w:szCs w:val="24"/>
              </w:rPr>
              <w:t>Project</w:t>
            </w:r>
          </w:p>
        </w:tc>
        <w:tc>
          <w:tcPr>
            <w:tcW w:w="6029" w:type="dxa"/>
            <w:shd w:val="clear" w:color="auto" w:fill="EFF8FE" w:themeFill="background2"/>
          </w:tcPr>
          <w:p w14:paraId="3B23B59F" w14:textId="2B784E29" w:rsidR="002623EB" w:rsidRPr="008A6A04" w:rsidRDefault="00E21FE9" w:rsidP="009F6019">
            <w:pPr>
              <w:autoSpaceDE w:val="0"/>
              <w:autoSpaceDN w:val="0"/>
              <w:adjustRightInd w:val="0"/>
              <w:jc w:val="both"/>
              <w:rPr>
                <w:rFonts w:cstheme="minorHAnsi"/>
                <w:bCs/>
                <w:sz w:val="24"/>
                <w:szCs w:val="24"/>
              </w:rPr>
            </w:pPr>
            <w:r w:rsidRPr="008A6A04">
              <w:rPr>
                <w:rFonts w:cstheme="minorHAnsi"/>
                <w:bCs/>
                <w:sz w:val="24"/>
                <w:szCs w:val="24"/>
              </w:rPr>
              <w:t>ABC-Sahel (SP</w:t>
            </w:r>
            <w:r w:rsidR="00AA57CF" w:rsidRPr="008A6A04">
              <w:rPr>
                <w:rFonts w:cstheme="minorHAnsi"/>
                <w:bCs/>
                <w:sz w:val="24"/>
                <w:szCs w:val="24"/>
              </w:rPr>
              <w:t>1790</w:t>
            </w:r>
            <w:r w:rsidRPr="008A6A04">
              <w:rPr>
                <w:rFonts w:cstheme="minorHAnsi"/>
                <w:bCs/>
                <w:sz w:val="24"/>
                <w:szCs w:val="24"/>
              </w:rPr>
              <w:t>)</w:t>
            </w:r>
          </w:p>
        </w:tc>
      </w:tr>
      <w:tr w:rsidR="002623EB" w:rsidRPr="008A6A04" w14:paraId="56D638A5" w14:textId="77777777" w:rsidTr="002623EB">
        <w:tc>
          <w:tcPr>
            <w:tcW w:w="2820" w:type="dxa"/>
            <w:shd w:val="clear" w:color="auto" w:fill="EFF8FE" w:themeFill="background2"/>
          </w:tcPr>
          <w:p w14:paraId="3F25433F" w14:textId="77777777" w:rsidR="002623EB" w:rsidRPr="008A6A04" w:rsidRDefault="002623EB" w:rsidP="009F6019">
            <w:pPr>
              <w:autoSpaceDE w:val="0"/>
              <w:autoSpaceDN w:val="0"/>
              <w:adjustRightInd w:val="0"/>
              <w:rPr>
                <w:rFonts w:cstheme="minorHAnsi"/>
                <w:b/>
                <w:sz w:val="24"/>
                <w:szCs w:val="24"/>
              </w:rPr>
            </w:pPr>
            <w:proofErr w:type="spellStart"/>
            <w:r w:rsidRPr="008A6A04">
              <w:rPr>
                <w:rFonts w:cstheme="minorHAnsi"/>
                <w:b/>
                <w:sz w:val="24"/>
                <w:szCs w:val="24"/>
              </w:rPr>
              <w:t>Assignment</w:t>
            </w:r>
            <w:proofErr w:type="spellEnd"/>
            <w:r w:rsidRPr="008A6A04">
              <w:rPr>
                <w:rFonts w:cstheme="minorHAnsi"/>
                <w:b/>
                <w:sz w:val="24"/>
                <w:szCs w:val="24"/>
              </w:rPr>
              <w:t xml:space="preserve">  </w:t>
            </w:r>
          </w:p>
        </w:tc>
        <w:tc>
          <w:tcPr>
            <w:tcW w:w="6029" w:type="dxa"/>
            <w:shd w:val="clear" w:color="auto" w:fill="EFF8FE" w:themeFill="background2"/>
          </w:tcPr>
          <w:p w14:paraId="1391AE3E" w14:textId="764595ED" w:rsidR="002623EB" w:rsidRPr="008A6A04" w:rsidRDefault="008779D2" w:rsidP="009F6019">
            <w:pPr>
              <w:autoSpaceDE w:val="0"/>
              <w:autoSpaceDN w:val="0"/>
              <w:adjustRightInd w:val="0"/>
              <w:jc w:val="both"/>
              <w:rPr>
                <w:rFonts w:cstheme="minorHAnsi"/>
                <w:bCs/>
                <w:sz w:val="24"/>
                <w:szCs w:val="24"/>
              </w:rPr>
            </w:pPr>
            <w:r w:rsidRPr="008A6A04">
              <w:rPr>
                <w:rFonts w:cstheme="minorHAnsi"/>
                <w:bCs/>
                <w:sz w:val="24"/>
                <w:szCs w:val="24"/>
              </w:rPr>
              <w:t>Coaching aux entreprises biodigesteurs et approfondissement du business case biodigesteur</w:t>
            </w:r>
          </w:p>
        </w:tc>
      </w:tr>
      <w:tr w:rsidR="002623EB" w:rsidRPr="008A6A04" w14:paraId="0977AC40" w14:textId="77777777" w:rsidTr="002623EB">
        <w:tc>
          <w:tcPr>
            <w:tcW w:w="2820" w:type="dxa"/>
            <w:shd w:val="clear" w:color="auto" w:fill="EFF8FE" w:themeFill="background2"/>
          </w:tcPr>
          <w:p w14:paraId="7347EDA7" w14:textId="77777777" w:rsidR="002623EB" w:rsidRPr="008A6A04" w:rsidRDefault="002623EB" w:rsidP="009F6019">
            <w:pPr>
              <w:autoSpaceDE w:val="0"/>
              <w:autoSpaceDN w:val="0"/>
              <w:adjustRightInd w:val="0"/>
              <w:rPr>
                <w:rFonts w:cstheme="minorHAnsi"/>
                <w:b/>
                <w:sz w:val="24"/>
                <w:szCs w:val="24"/>
              </w:rPr>
            </w:pPr>
            <w:r w:rsidRPr="008A6A04">
              <w:rPr>
                <w:rFonts w:cstheme="minorHAnsi"/>
                <w:b/>
                <w:sz w:val="24"/>
                <w:szCs w:val="24"/>
              </w:rPr>
              <w:t>Location</w:t>
            </w:r>
          </w:p>
        </w:tc>
        <w:tc>
          <w:tcPr>
            <w:tcW w:w="6029" w:type="dxa"/>
            <w:shd w:val="clear" w:color="auto" w:fill="EFF8FE" w:themeFill="background2"/>
          </w:tcPr>
          <w:p w14:paraId="29750619" w14:textId="1E7B18E6" w:rsidR="002623EB" w:rsidRPr="008A6A04" w:rsidRDefault="009747D6" w:rsidP="009F6019">
            <w:pPr>
              <w:autoSpaceDE w:val="0"/>
              <w:autoSpaceDN w:val="0"/>
              <w:adjustRightInd w:val="0"/>
              <w:jc w:val="both"/>
              <w:rPr>
                <w:rFonts w:cstheme="minorHAnsi"/>
                <w:bCs/>
                <w:sz w:val="24"/>
                <w:szCs w:val="24"/>
              </w:rPr>
            </w:pPr>
            <w:r w:rsidRPr="008A6A04">
              <w:rPr>
                <w:rFonts w:cstheme="minorHAnsi"/>
                <w:bCs/>
                <w:sz w:val="24"/>
                <w:szCs w:val="24"/>
              </w:rPr>
              <w:t>Bamako</w:t>
            </w:r>
            <w:r w:rsidR="00CA5A02" w:rsidRPr="008A6A04">
              <w:rPr>
                <w:rFonts w:cstheme="minorHAnsi"/>
                <w:bCs/>
                <w:sz w:val="24"/>
                <w:szCs w:val="24"/>
              </w:rPr>
              <w:t xml:space="preserve"> avec missions sur le terrain</w:t>
            </w:r>
          </w:p>
        </w:tc>
      </w:tr>
      <w:tr w:rsidR="002623EB" w:rsidRPr="008A6A04" w14:paraId="0750F607" w14:textId="77777777" w:rsidTr="002623EB">
        <w:tc>
          <w:tcPr>
            <w:tcW w:w="2820" w:type="dxa"/>
            <w:shd w:val="clear" w:color="auto" w:fill="EFF8FE" w:themeFill="background2"/>
          </w:tcPr>
          <w:p w14:paraId="4F17CB72" w14:textId="77777777" w:rsidR="002623EB" w:rsidRPr="008A6A04" w:rsidRDefault="002623EB" w:rsidP="009F6019">
            <w:pPr>
              <w:autoSpaceDE w:val="0"/>
              <w:autoSpaceDN w:val="0"/>
              <w:adjustRightInd w:val="0"/>
              <w:rPr>
                <w:rFonts w:cstheme="minorHAnsi"/>
                <w:b/>
                <w:sz w:val="24"/>
                <w:szCs w:val="24"/>
              </w:rPr>
            </w:pPr>
            <w:r w:rsidRPr="008A6A04">
              <w:rPr>
                <w:rFonts w:cstheme="minorHAnsi"/>
                <w:b/>
                <w:sz w:val="24"/>
                <w:szCs w:val="24"/>
              </w:rPr>
              <w:t>Duration</w:t>
            </w:r>
          </w:p>
        </w:tc>
        <w:tc>
          <w:tcPr>
            <w:tcW w:w="6029" w:type="dxa"/>
            <w:shd w:val="clear" w:color="auto" w:fill="EFF8FE" w:themeFill="background2"/>
          </w:tcPr>
          <w:p w14:paraId="5EE4B718" w14:textId="5DC65A51" w:rsidR="002623EB" w:rsidRPr="008A6A04" w:rsidRDefault="00D2727C" w:rsidP="009F6019">
            <w:pPr>
              <w:autoSpaceDE w:val="0"/>
              <w:autoSpaceDN w:val="0"/>
              <w:adjustRightInd w:val="0"/>
              <w:jc w:val="both"/>
              <w:rPr>
                <w:rFonts w:cstheme="minorHAnsi"/>
                <w:bCs/>
                <w:sz w:val="24"/>
                <w:szCs w:val="24"/>
              </w:rPr>
            </w:pPr>
            <w:r w:rsidRPr="008A6A04">
              <w:rPr>
                <w:rFonts w:cstheme="minorHAnsi"/>
                <w:bCs/>
                <w:sz w:val="24"/>
                <w:szCs w:val="24"/>
              </w:rPr>
              <w:t>4</w:t>
            </w:r>
            <w:r w:rsidR="00E21FE9" w:rsidRPr="008A6A04">
              <w:rPr>
                <w:rFonts w:cstheme="minorHAnsi"/>
                <w:bCs/>
                <w:sz w:val="24"/>
                <w:szCs w:val="24"/>
              </w:rPr>
              <w:t xml:space="preserve"> mois</w:t>
            </w:r>
          </w:p>
        </w:tc>
      </w:tr>
      <w:tr w:rsidR="002623EB" w:rsidRPr="008A6A04" w14:paraId="7759DA23" w14:textId="77777777" w:rsidTr="002623EB">
        <w:tc>
          <w:tcPr>
            <w:tcW w:w="2820" w:type="dxa"/>
            <w:shd w:val="clear" w:color="auto" w:fill="EFF8FE" w:themeFill="background2"/>
          </w:tcPr>
          <w:p w14:paraId="47FB2A02" w14:textId="65DA4893" w:rsidR="002623EB" w:rsidRPr="008A6A04" w:rsidRDefault="002623EB" w:rsidP="009F6019">
            <w:pPr>
              <w:autoSpaceDE w:val="0"/>
              <w:autoSpaceDN w:val="0"/>
              <w:adjustRightInd w:val="0"/>
              <w:rPr>
                <w:rFonts w:cstheme="minorHAnsi"/>
                <w:b/>
                <w:sz w:val="24"/>
                <w:szCs w:val="24"/>
                <w:lang w:val="en-US"/>
              </w:rPr>
            </w:pPr>
            <w:r w:rsidRPr="008A6A04">
              <w:rPr>
                <w:rFonts w:cstheme="minorHAnsi"/>
                <w:b/>
                <w:sz w:val="24"/>
                <w:szCs w:val="24"/>
                <w:lang w:val="en-US"/>
              </w:rPr>
              <w:t xml:space="preserve">Reporting to/working with SNV </w:t>
            </w:r>
          </w:p>
        </w:tc>
        <w:tc>
          <w:tcPr>
            <w:tcW w:w="6029" w:type="dxa"/>
            <w:shd w:val="clear" w:color="auto" w:fill="EFF8FE" w:themeFill="background2"/>
          </w:tcPr>
          <w:p w14:paraId="098762CD" w14:textId="6F17A043" w:rsidR="002623EB" w:rsidRPr="008A6A04" w:rsidRDefault="00DA6A5B" w:rsidP="009F6019">
            <w:pPr>
              <w:pStyle w:val="Listbullets"/>
              <w:numPr>
                <w:ilvl w:val="0"/>
                <w:numId w:val="0"/>
              </w:numPr>
              <w:rPr>
                <w:rFonts w:cstheme="minorHAnsi"/>
                <w:bCs/>
                <w:sz w:val="24"/>
                <w:szCs w:val="24"/>
              </w:rPr>
            </w:pPr>
            <w:r w:rsidRPr="008A6A04">
              <w:rPr>
                <w:rFonts w:cstheme="minorHAnsi"/>
                <w:bCs/>
                <w:sz w:val="24"/>
                <w:szCs w:val="24"/>
              </w:rPr>
              <w:t>Saran Diane</w:t>
            </w:r>
            <w:r w:rsidR="00E21FE9" w:rsidRPr="008A6A04">
              <w:rPr>
                <w:rFonts w:cstheme="minorHAnsi"/>
                <w:bCs/>
                <w:sz w:val="24"/>
                <w:szCs w:val="24"/>
              </w:rPr>
              <w:t>, PM ABC-</w:t>
            </w:r>
            <w:r w:rsidRPr="008A6A04">
              <w:rPr>
                <w:rFonts w:cstheme="minorHAnsi"/>
                <w:bCs/>
                <w:sz w:val="24"/>
                <w:szCs w:val="24"/>
              </w:rPr>
              <w:t>Mali</w:t>
            </w:r>
          </w:p>
          <w:p w14:paraId="29E5FE4F" w14:textId="786C17CF" w:rsidR="002623EB" w:rsidRPr="008A6A04" w:rsidRDefault="002623EB" w:rsidP="009F6019">
            <w:pPr>
              <w:pStyle w:val="Listbullets"/>
              <w:numPr>
                <w:ilvl w:val="0"/>
                <w:numId w:val="0"/>
              </w:numPr>
              <w:rPr>
                <w:rFonts w:cstheme="minorHAnsi"/>
                <w:bCs/>
                <w:sz w:val="24"/>
                <w:szCs w:val="24"/>
              </w:rPr>
            </w:pPr>
          </w:p>
        </w:tc>
      </w:tr>
      <w:tr w:rsidR="002623EB" w:rsidRPr="008A6A04" w14:paraId="3D50FF51" w14:textId="77777777" w:rsidTr="002623EB">
        <w:tc>
          <w:tcPr>
            <w:tcW w:w="2820" w:type="dxa"/>
            <w:shd w:val="clear" w:color="auto" w:fill="EFF8FE" w:themeFill="background2"/>
          </w:tcPr>
          <w:p w14:paraId="4D126ED2" w14:textId="77777777" w:rsidR="002623EB" w:rsidRPr="008A6A04" w:rsidRDefault="002623EB" w:rsidP="009F6019">
            <w:pPr>
              <w:autoSpaceDE w:val="0"/>
              <w:autoSpaceDN w:val="0"/>
              <w:adjustRightInd w:val="0"/>
              <w:rPr>
                <w:rFonts w:cstheme="minorHAnsi"/>
                <w:b/>
                <w:sz w:val="24"/>
                <w:szCs w:val="24"/>
              </w:rPr>
            </w:pPr>
            <w:proofErr w:type="spellStart"/>
            <w:r w:rsidRPr="008A6A04">
              <w:rPr>
                <w:rFonts w:cstheme="minorHAnsi"/>
                <w:b/>
                <w:sz w:val="24"/>
                <w:szCs w:val="24"/>
              </w:rPr>
              <w:t>Starting</w:t>
            </w:r>
            <w:proofErr w:type="spellEnd"/>
            <w:r w:rsidRPr="008A6A04">
              <w:rPr>
                <w:rFonts w:cstheme="minorHAnsi"/>
                <w:b/>
                <w:sz w:val="24"/>
                <w:szCs w:val="24"/>
              </w:rPr>
              <w:t xml:space="preserve"> date</w:t>
            </w:r>
          </w:p>
        </w:tc>
        <w:tc>
          <w:tcPr>
            <w:tcW w:w="6029" w:type="dxa"/>
            <w:shd w:val="clear" w:color="auto" w:fill="EFF8FE" w:themeFill="background2"/>
          </w:tcPr>
          <w:p w14:paraId="57323CBD" w14:textId="3F6A4143" w:rsidR="002623EB" w:rsidRPr="008A6A04" w:rsidRDefault="00A67620" w:rsidP="009F6019">
            <w:pPr>
              <w:jc w:val="both"/>
              <w:rPr>
                <w:rFonts w:cstheme="minorHAnsi"/>
                <w:bCs/>
                <w:sz w:val="24"/>
                <w:szCs w:val="24"/>
              </w:rPr>
            </w:pPr>
            <w:r w:rsidRPr="008A6A04">
              <w:rPr>
                <w:rFonts w:cstheme="minorHAnsi"/>
                <w:bCs/>
                <w:sz w:val="24"/>
                <w:szCs w:val="24"/>
              </w:rPr>
              <w:t>16</w:t>
            </w:r>
            <w:r w:rsidR="00E21FE9" w:rsidRPr="008A6A04">
              <w:rPr>
                <w:rFonts w:cstheme="minorHAnsi"/>
                <w:bCs/>
                <w:sz w:val="24"/>
                <w:szCs w:val="24"/>
              </w:rPr>
              <w:t>/0</w:t>
            </w:r>
            <w:r w:rsidRPr="008A6A04">
              <w:rPr>
                <w:rFonts w:cstheme="minorHAnsi"/>
                <w:bCs/>
                <w:sz w:val="24"/>
                <w:szCs w:val="24"/>
              </w:rPr>
              <w:t>2</w:t>
            </w:r>
            <w:r w:rsidR="00E21FE9" w:rsidRPr="008A6A04">
              <w:rPr>
                <w:rFonts w:cstheme="minorHAnsi"/>
                <w:bCs/>
                <w:sz w:val="24"/>
                <w:szCs w:val="24"/>
              </w:rPr>
              <w:t>/2026</w:t>
            </w:r>
          </w:p>
        </w:tc>
      </w:tr>
    </w:tbl>
    <w:p w14:paraId="675FAC67" w14:textId="77777777" w:rsidR="00972933" w:rsidRPr="008A6A04" w:rsidRDefault="00972933" w:rsidP="00972933">
      <w:pPr>
        <w:rPr>
          <w:rFonts w:cstheme="minorHAnsi"/>
          <w:sz w:val="24"/>
          <w:szCs w:val="24"/>
        </w:rPr>
      </w:pPr>
    </w:p>
    <w:p w14:paraId="5C65CD6C" w14:textId="77777777" w:rsidR="00E319D6" w:rsidRPr="008A6A04" w:rsidRDefault="00D627B5" w:rsidP="00D627B5">
      <w:pPr>
        <w:pStyle w:val="Heading1"/>
        <w:rPr>
          <w:rFonts w:asciiTheme="minorHAnsi" w:hAnsiTheme="minorHAnsi" w:cstheme="minorHAnsi"/>
          <w:sz w:val="24"/>
          <w:szCs w:val="24"/>
        </w:rPr>
      </w:pPr>
      <w:r w:rsidRPr="008A6A04">
        <w:rPr>
          <w:rFonts w:asciiTheme="minorHAnsi" w:hAnsiTheme="minorHAnsi" w:cstheme="minorHAnsi"/>
          <w:sz w:val="24"/>
          <w:szCs w:val="24"/>
        </w:rPr>
        <w:t>About SNV</w:t>
      </w:r>
    </w:p>
    <w:p w14:paraId="1C5AB795" w14:textId="7B806E5F" w:rsidR="004E4639" w:rsidRPr="008A6A04" w:rsidRDefault="004E4639" w:rsidP="004E4639">
      <w:pPr>
        <w:pStyle w:val="Heading1"/>
        <w:numPr>
          <w:ilvl w:val="0"/>
          <w:numId w:val="0"/>
        </w:numPr>
        <w:rPr>
          <w:rFonts w:asciiTheme="minorHAnsi" w:eastAsia="Verdana" w:hAnsiTheme="minorHAnsi" w:cstheme="minorHAnsi"/>
          <w:b w:val="0"/>
          <w:sz w:val="24"/>
          <w:szCs w:val="24"/>
        </w:rPr>
      </w:pPr>
      <w:r w:rsidRPr="008A6A04">
        <w:rPr>
          <w:rFonts w:asciiTheme="minorHAnsi" w:eastAsia="Verdana" w:hAnsiTheme="minorHAnsi" w:cstheme="minorHAnsi"/>
          <w:b w:val="0"/>
          <w:sz w:val="24"/>
          <w:szCs w:val="24"/>
        </w:rPr>
        <w:t xml:space="preserve">SNV est un partenaire international du développement investi d’une mission, et qui est ancrée dans les contextes et les sociétés où elle travaille. Nous contribuons aux objectifs de développement durable (ODD) grâce à l’efficacité de nos programmes et à notre stratégie d’influence, avec pour axe central la transformation des systèmes agroalimentaires, énergétiques et d’approvisionnement en eau, afin de permettre des conditions de vie plus durables et plus équitables pour </w:t>
      </w:r>
      <w:proofErr w:type="spellStart"/>
      <w:r w:rsidRPr="008A6A04">
        <w:rPr>
          <w:rFonts w:asciiTheme="minorHAnsi" w:eastAsia="Verdana" w:hAnsiTheme="minorHAnsi" w:cstheme="minorHAnsi"/>
          <w:b w:val="0"/>
          <w:sz w:val="24"/>
          <w:szCs w:val="24"/>
        </w:rPr>
        <w:t>tou∙te∙s</w:t>
      </w:r>
      <w:proofErr w:type="spellEnd"/>
      <w:r w:rsidRPr="008A6A04">
        <w:rPr>
          <w:rFonts w:asciiTheme="minorHAnsi" w:eastAsia="Verdana" w:hAnsiTheme="minorHAnsi" w:cstheme="minorHAnsi"/>
          <w:b w:val="0"/>
          <w:sz w:val="24"/>
          <w:szCs w:val="24"/>
        </w:rPr>
        <w:t xml:space="preserve">. </w:t>
      </w:r>
    </w:p>
    <w:p w14:paraId="6E973DC6" w14:textId="1913F751" w:rsidR="00D627B5" w:rsidRPr="008A6A04" w:rsidRDefault="00CA5A02" w:rsidP="004E4639">
      <w:pPr>
        <w:pStyle w:val="Heading1"/>
        <w:rPr>
          <w:rFonts w:asciiTheme="minorHAnsi" w:hAnsiTheme="minorHAnsi" w:cstheme="minorHAnsi"/>
          <w:sz w:val="24"/>
          <w:szCs w:val="24"/>
        </w:rPr>
      </w:pPr>
      <w:r w:rsidRPr="008A6A04">
        <w:rPr>
          <w:rFonts w:asciiTheme="minorHAnsi" w:hAnsiTheme="minorHAnsi" w:cstheme="minorHAnsi"/>
          <w:sz w:val="24"/>
          <w:szCs w:val="24"/>
        </w:rPr>
        <w:t xml:space="preserve">Contexte et </w:t>
      </w:r>
      <w:r w:rsidR="004E4639" w:rsidRPr="008A6A04">
        <w:rPr>
          <w:rFonts w:asciiTheme="minorHAnsi" w:hAnsiTheme="minorHAnsi" w:cstheme="minorHAnsi"/>
          <w:sz w:val="24"/>
          <w:szCs w:val="24"/>
        </w:rPr>
        <w:t>j</w:t>
      </w:r>
      <w:r w:rsidRPr="008A6A04">
        <w:rPr>
          <w:rFonts w:asciiTheme="minorHAnsi" w:hAnsiTheme="minorHAnsi" w:cstheme="minorHAnsi"/>
          <w:sz w:val="24"/>
          <w:szCs w:val="24"/>
        </w:rPr>
        <w:t>ustification</w:t>
      </w:r>
    </w:p>
    <w:p w14:paraId="59D28A6F" w14:textId="135F0C84" w:rsidR="00E21FE9" w:rsidRPr="008A6A04" w:rsidRDefault="00E21FE9" w:rsidP="00E21FE9">
      <w:pPr>
        <w:rPr>
          <w:rFonts w:cstheme="minorHAnsi"/>
          <w:sz w:val="24"/>
          <w:szCs w:val="24"/>
        </w:rPr>
      </w:pPr>
      <w:r w:rsidRPr="008A6A04">
        <w:rPr>
          <w:rFonts w:cstheme="minorHAnsi"/>
          <w:sz w:val="24"/>
          <w:szCs w:val="24"/>
        </w:rPr>
        <w:t>SNV a accompagné le développement d’un écosystème autour des biodigesteurs, avec</w:t>
      </w:r>
      <w:r w:rsidR="003106F6" w:rsidRPr="008A6A04">
        <w:rPr>
          <w:rFonts w:cstheme="minorHAnsi"/>
          <w:sz w:val="24"/>
          <w:szCs w:val="24"/>
        </w:rPr>
        <w:t xml:space="preserve"> </w:t>
      </w:r>
      <w:r w:rsidRPr="008A6A04">
        <w:rPr>
          <w:rFonts w:cstheme="minorHAnsi"/>
          <w:sz w:val="24"/>
          <w:szCs w:val="24"/>
        </w:rPr>
        <w:t>:</w:t>
      </w:r>
    </w:p>
    <w:p w14:paraId="7D15B8FC" w14:textId="27EC92AC" w:rsidR="00E21FE9" w:rsidRPr="008A6A04" w:rsidRDefault="00E21FE9" w:rsidP="00E21FE9">
      <w:pPr>
        <w:pStyle w:val="ListParagraph"/>
        <w:numPr>
          <w:ilvl w:val="0"/>
          <w:numId w:val="35"/>
        </w:numPr>
        <w:rPr>
          <w:rFonts w:asciiTheme="minorHAnsi" w:hAnsiTheme="minorHAnsi" w:cstheme="minorHAnsi"/>
          <w:sz w:val="24"/>
          <w:szCs w:val="24"/>
        </w:rPr>
      </w:pPr>
      <w:r w:rsidRPr="008A6A04">
        <w:rPr>
          <w:rFonts w:asciiTheme="minorHAnsi" w:hAnsiTheme="minorHAnsi" w:cstheme="minorHAnsi"/>
          <w:sz w:val="24"/>
          <w:szCs w:val="24"/>
        </w:rPr>
        <w:t>8 entreprises a</w:t>
      </w:r>
      <w:r w:rsidR="00D51B00" w:rsidRPr="008A6A04">
        <w:rPr>
          <w:rFonts w:asciiTheme="minorHAnsi" w:hAnsiTheme="minorHAnsi" w:cstheme="minorHAnsi"/>
          <w:sz w:val="24"/>
          <w:szCs w:val="24"/>
        </w:rPr>
        <w:t>yant signé un contrat FBR en cours</w:t>
      </w:r>
      <w:r w:rsidRPr="008A6A04">
        <w:rPr>
          <w:rFonts w:asciiTheme="minorHAnsi" w:hAnsiTheme="minorHAnsi" w:cstheme="minorHAnsi"/>
          <w:sz w:val="24"/>
          <w:szCs w:val="24"/>
        </w:rPr>
        <w:t xml:space="preserve">, dont 5 </w:t>
      </w:r>
      <w:r w:rsidR="00D2727C" w:rsidRPr="008A6A04">
        <w:rPr>
          <w:rFonts w:asciiTheme="minorHAnsi" w:hAnsiTheme="minorHAnsi" w:cstheme="minorHAnsi"/>
          <w:sz w:val="24"/>
          <w:szCs w:val="24"/>
        </w:rPr>
        <w:t>entreprises performantes sur le terrain.</w:t>
      </w:r>
    </w:p>
    <w:p w14:paraId="456694A2" w14:textId="6AE7AB11" w:rsidR="00E21FE9" w:rsidRPr="008A6A04" w:rsidRDefault="00E21FE9" w:rsidP="00E21FE9">
      <w:pPr>
        <w:pStyle w:val="ListParagraph"/>
        <w:numPr>
          <w:ilvl w:val="0"/>
          <w:numId w:val="35"/>
        </w:numPr>
        <w:rPr>
          <w:rFonts w:asciiTheme="minorHAnsi" w:hAnsiTheme="minorHAnsi" w:cstheme="minorHAnsi"/>
          <w:sz w:val="24"/>
          <w:szCs w:val="24"/>
        </w:rPr>
      </w:pPr>
      <w:r w:rsidRPr="008A6A04">
        <w:rPr>
          <w:rFonts w:asciiTheme="minorHAnsi" w:hAnsiTheme="minorHAnsi" w:cstheme="minorHAnsi"/>
          <w:sz w:val="24"/>
          <w:szCs w:val="24"/>
        </w:rPr>
        <w:t>Un business case attractif pour l’utilisateur final (résultats composant OFVI).</w:t>
      </w:r>
    </w:p>
    <w:p w14:paraId="0B60D2B6" w14:textId="77777777" w:rsidR="00E21FE9" w:rsidRPr="008A6A04" w:rsidRDefault="00E21FE9" w:rsidP="00E21FE9">
      <w:pPr>
        <w:rPr>
          <w:rFonts w:cstheme="minorHAnsi"/>
          <w:sz w:val="24"/>
          <w:szCs w:val="24"/>
        </w:rPr>
      </w:pPr>
    </w:p>
    <w:p w14:paraId="1C804B03" w14:textId="47981966" w:rsidR="00E21FE9" w:rsidRPr="008A6A04" w:rsidRDefault="00E21FE9" w:rsidP="00E21FE9">
      <w:pPr>
        <w:rPr>
          <w:rFonts w:cstheme="minorHAnsi"/>
          <w:sz w:val="24"/>
          <w:szCs w:val="24"/>
        </w:rPr>
      </w:pPr>
      <w:r w:rsidRPr="008A6A04">
        <w:rPr>
          <w:rFonts w:cstheme="minorHAnsi"/>
          <w:sz w:val="24"/>
          <w:szCs w:val="24"/>
        </w:rPr>
        <w:t>Cependant</w:t>
      </w:r>
      <w:r w:rsidR="003106F6" w:rsidRPr="008A6A04">
        <w:rPr>
          <w:rFonts w:cstheme="minorHAnsi"/>
          <w:sz w:val="24"/>
          <w:szCs w:val="24"/>
        </w:rPr>
        <w:t xml:space="preserve"> </w:t>
      </w:r>
      <w:r w:rsidRPr="008A6A04">
        <w:rPr>
          <w:rFonts w:cstheme="minorHAnsi"/>
          <w:sz w:val="24"/>
          <w:szCs w:val="24"/>
        </w:rPr>
        <w:t>:</w:t>
      </w:r>
    </w:p>
    <w:p w14:paraId="00CA8317" w14:textId="2C92351A" w:rsidR="00E21FE9" w:rsidRPr="008A6A04" w:rsidRDefault="00E21FE9" w:rsidP="00E21FE9">
      <w:pPr>
        <w:pStyle w:val="ListParagraph"/>
        <w:numPr>
          <w:ilvl w:val="0"/>
          <w:numId w:val="36"/>
        </w:numPr>
        <w:rPr>
          <w:rFonts w:asciiTheme="minorHAnsi" w:hAnsiTheme="minorHAnsi" w:cstheme="minorHAnsi"/>
          <w:sz w:val="24"/>
          <w:szCs w:val="24"/>
        </w:rPr>
      </w:pPr>
      <w:r w:rsidRPr="008A6A04">
        <w:rPr>
          <w:rFonts w:asciiTheme="minorHAnsi" w:hAnsiTheme="minorHAnsi" w:cstheme="minorHAnsi"/>
          <w:sz w:val="24"/>
          <w:szCs w:val="24"/>
        </w:rPr>
        <w:t>Les entreprises peinent à rentabiliser et “ban</w:t>
      </w:r>
      <w:r w:rsidR="00CA5A02" w:rsidRPr="008A6A04">
        <w:rPr>
          <w:rFonts w:asciiTheme="minorHAnsi" w:hAnsiTheme="minorHAnsi" w:cstheme="minorHAnsi"/>
          <w:sz w:val="24"/>
          <w:szCs w:val="24"/>
        </w:rPr>
        <w:t>c</w:t>
      </w:r>
      <w:r w:rsidRPr="008A6A04">
        <w:rPr>
          <w:rFonts w:asciiTheme="minorHAnsi" w:hAnsiTheme="minorHAnsi" w:cstheme="minorHAnsi"/>
          <w:sz w:val="24"/>
          <w:szCs w:val="24"/>
        </w:rPr>
        <w:t>abiliser” leur modèle d’affaires auprès des IMF/partenaires.</w:t>
      </w:r>
    </w:p>
    <w:p w14:paraId="7413CA64" w14:textId="452CB77B" w:rsidR="00E21FE9" w:rsidRPr="008A6A04" w:rsidRDefault="00E21FE9" w:rsidP="00E21FE9">
      <w:pPr>
        <w:pStyle w:val="ListParagraph"/>
        <w:numPr>
          <w:ilvl w:val="0"/>
          <w:numId w:val="36"/>
        </w:numPr>
        <w:rPr>
          <w:rFonts w:asciiTheme="minorHAnsi" w:hAnsiTheme="minorHAnsi" w:cstheme="minorHAnsi"/>
          <w:sz w:val="24"/>
          <w:szCs w:val="24"/>
        </w:rPr>
      </w:pPr>
      <w:r w:rsidRPr="008A6A04">
        <w:rPr>
          <w:rFonts w:asciiTheme="minorHAnsi" w:hAnsiTheme="minorHAnsi" w:cstheme="minorHAnsi"/>
          <w:sz w:val="24"/>
          <w:szCs w:val="24"/>
        </w:rPr>
        <w:t>Le marché n’accélère pas, révélant des angles morts non captés par les hypothèses actuelles du business case.</w:t>
      </w:r>
    </w:p>
    <w:p w14:paraId="364851A5" w14:textId="77777777" w:rsidR="00E21FE9" w:rsidRPr="008A6A04" w:rsidRDefault="00E21FE9" w:rsidP="00E21FE9">
      <w:pPr>
        <w:rPr>
          <w:rFonts w:cstheme="minorHAnsi"/>
          <w:sz w:val="24"/>
          <w:szCs w:val="24"/>
        </w:rPr>
      </w:pPr>
    </w:p>
    <w:p w14:paraId="4CD967C7" w14:textId="0F70FAF0" w:rsidR="00E319D6" w:rsidRPr="008A6A04" w:rsidRDefault="00E21FE9" w:rsidP="00E21FE9">
      <w:pPr>
        <w:rPr>
          <w:rFonts w:cstheme="minorHAnsi"/>
          <w:sz w:val="24"/>
          <w:szCs w:val="24"/>
        </w:rPr>
      </w:pPr>
      <w:r w:rsidRPr="008A6A04">
        <w:rPr>
          <w:rFonts w:cstheme="minorHAnsi"/>
          <w:sz w:val="24"/>
          <w:szCs w:val="24"/>
        </w:rPr>
        <w:t>SNV recrute un(e) consultant(e) pour structurer, tester et améliorer les modèles d’affaires, renforcer la présentation aux partenaires, et clarifier le business case utilisateur final afin de lever les goulots d’étranglement à l’adoption.</w:t>
      </w:r>
    </w:p>
    <w:p w14:paraId="55FAFAF6" w14:textId="77777777" w:rsidR="00E21FE9" w:rsidRPr="008A6A04" w:rsidRDefault="00E21FE9" w:rsidP="00E21FE9">
      <w:pPr>
        <w:rPr>
          <w:rFonts w:cstheme="minorHAnsi"/>
          <w:sz w:val="24"/>
          <w:szCs w:val="24"/>
        </w:rPr>
      </w:pPr>
    </w:p>
    <w:p w14:paraId="40E693E2" w14:textId="1FECAECF" w:rsidR="00E21FE9" w:rsidRPr="008A6A04" w:rsidRDefault="00E21FE9" w:rsidP="00E21FE9">
      <w:pPr>
        <w:rPr>
          <w:rFonts w:cstheme="minorHAnsi"/>
          <w:b/>
          <w:bCs/>
          <w:sz w:val="24"/>
          <w:szCs w:val="24"/>
        </w:rPr>
      </w:pPr>
      <w:r w:rsidRPr="008A6A04">
        <w:rPr>
          <w:rFonts w:cstheme="minorHAnsi"/>
          <w:b/>
          <w:bCs/>
          <w:sz w:val="24"/>
          <w:szCs w:val="24"/>
        </w:rPr>
        <w:t>Objectif Global</w:t>
      </w:r>
    </w:p>
    <w:p w14:paraId="68C42BFA" w14:textId="53B05F05" w:rsidR="00E21FE9" w:rsidRPr="008A6A04" w:rsidRDefault="00E21FE9" w:rsidP="00E21FE9">
      <w:pPr>
        <w:rPr>
          <w:rFonts w:cstheme="minorHAnsi"/>
          <w:sz w:val="24"/>
          <w:szCs w:val="24"/>
        </w:rPr>
      </w:pPr>
      <w:r w:rsidRPr="008A6A04">
        <w:rPr>
          <w:rFonts w:cstheme="minorHAnsi"/>
          <w:sz w:val="24"/>
          <w:szCs w:val="24"/>
        </w:rPr>
        <w:t xml:space="preserve">Renforcer la viabilité économique, la </w:t>
      </w:r>
      <w:proofErr w:type="spellStart"/>
      <w:r w:rsidRPr="008A6A04">
        <w:rPr>
          <w:rFonts w:cstheme="minorHAnsi"/>
          <w:sz w:val="24"/>
          <w:szCs w:val="24"/>
        </w:rPr>
        <w:t>bancabilité</w:t>
      </w:r>
      <w:proofErr w:type="spellEnd"/>
      <w:r w:rsidRPr="008A6A04">
        <w:rPr>
          <w:rFonts w:cstheme="minorHAnsi"/>
          <w:sz w:val="24"/>
          <w:szCs w:val="24"/>
        </w:rPr>
        <w:t xml:space="preserve"> et l’adoption de marché des entreprises de biodigesteurs en</w:t>
      </w:r>
      <w:r w:rsidR="00E2661E" w:rsidRPr="008A6A04">
        <w:rPr>
          <w:rFonts w:cstheme="minorHAnsi"/>
          <w:sz w:val="24"/>
          <w:szCs w:val="24"/>
        </w:rPr>
        <w:t xml:space="preserve"> </w:t>
      </w:r>
      <w:r w:rsidRPr="008A6A04">
        <w:rPr>
          <w:rFonts w:cstheme="minorHAnsi"/>
          <w:sz w:val="24"/>
          <w:szCs w:val="24"/>
        </w:rPr>
        <w:t>:</w:t>
      </w:r>
    </w:p>
    <w:p w14:paraId="48D7FEB8" w14:textId="333E81C7" w:rsidR="00E21FE9" w:rsidRPr="008A6A04" w:rsidRDefault="00E21FE9" w:rsidP="00E21FE9">
      <w:pPr>
        <w:pStyle w:val="ListParagraph"/>
        <w:numPr>
          <w:ilvl w:val="0"/>
          <w:numId w:val="37"/>
        </w:numPr>
        <w:rPr>
          <w:rFonts w:asciiTheme="minorHAnsi" w:hAnsiTheme="minorHAnsi" w:cstheme="minorHAnsi"/>
          <w:sz w:val="24"/>
          <w:szCs w:val="24"/>
        </w:rPr>
      </w:pPr>
      <w:r w:rsidRPr="008A6A04">
        <w:rPr>
          <w:rFonts w:asciiTheme="minorHAnsi" w:hAnsiTheme="minorHAnsi" w:cstheme="minorHAnsi"/>
          <w:sz w:val="24"/>
          <w:szCs w:val="24"/>
        </w:rPr>
        <w:t>Optimisant les modèles d’affaires (y compris la valorisation du compost).</w:t>
      </w:r>
    </w:p>
    <w:p w14:paraId="2153BE13" w14:textId="6B62BD73" w:rsidR="00E21FE9" w:rsidRPr="008A6A04" w:rsidRDefault="00E21FE9" w:rsidP="00E21FE9">
      <w:pPr>
        <w:pStyle w:val="ListParagraph"/>
        <w:numPr>
          <w:ilvl w:val="0"/>
          <w:numId w:val="37"/>
        </w:numPr>
        <w:rPr>
          <w:rFonts w:asciiTheme="minorHAnsi" w:hAnsiTheme="minorHAnsi" w:cstheme="minorHAnsi"/>
          <w:sz w:val="24"/>
          <w:szCs w:val="24"/>
        </w:rPr>
      </w:pPr>
      <w:r w:rsidRPr="008A6A04">
        <w:rPr>
          <w:rFonts w:asciiTheme="minorHAnsi" w:hAnsiTheme="minorHAnsi" w:cstheme="minorHAnsi"/>
          <w:sz w:val="24"/>
          <w:szCs w:val="24"/>
        </w:rPr>
        <w:lastRenderedPageBreak/>
        <w:t>Structurant des propositions claires et crédibles pour partenaires techniques et financiers.</w:t>
      </w:r>
    </w:p>
    <w:p w14:paraId="24AFA197" w14:textId="4259464A" w:rsidR="00E21FE9" w:rsidRPr="008A6A04" w:rsidRDefault="00E21FE9" w:rsidP="00E21FE9">
      <w:pPr>
        <w:pStyle w:val="ListParagraph"/>
        <w:numPr>
          <w:ilvl w:val="0"/>
          <w:numId w:val="37"/>
        </w:numPr>
        <w:rPr>
          <w:rFonts w:asciiTheme="minorHAnsi" w:hAnsiTheme="minorHAnsi" w:cstheme="minorHAnsi"/>
          <w:sz w:val="24"/>
          <w:szCs w:val="24"/>
        </w:rPr>
      </w:pPr>
      <w:r w:rsidRPr="008A6A04">
        <w:rPr>
          <w:rFonts w:asciiTheme="minorHAnsi" w:hAnsiTheme="minorHAnsi" w:cstheme="minorHAnsi"/>
          <w:sz w:val="24"/>
          <w:szCs w:val="24"/>
        </w:rPr>
        <w:t>Affinant le business case utilisateur final et identifiant les lacunes bloquant</w:t>
      </w:r>
      <w:r w:rsidR="00700AD1" w:rsidRPr="008A6A04">
        <w:rPr>
          <w:rFonts w:asciiTheme="minorHAnsi" w:hAnsiTheme="minorHAnsi" w:cstheme="minorHAnsi"/>
          <w:sz w:val="24"/>
          <w:szCs w:val="24"/>
        </w:rPr>
        <w:t xml:space="preserve"> la mise en</w:t>
      </w:r>
      <w:r w:rsidRPr="008A6A04">
        <w:rPr>
          <w:rFonts w:asciiTheme="minorHAnsi" w:hAnsiTheme="minorHAnsi" w:cstheme="minorHAnsi"/>
          <w:sz w:val="24"/>
          <w:szCs w:val="24"/>
        </w:rPr>
        <w:t xml:space="preserve"> échelle.</w:t>
      </w:r>
    </w:p>
    <w:p w14:paraId="00D6EAA9" w14:textId="77777777" w:rsidR="00E21FE9" w:rsidRPr="008A6A04" w:rsidRDefault="00E21FE9" w:rsidP="00E21FE9">
      <w:pPr>
        <w:rPr>
          <w:rFonts w:cstheme="minorHAnsi"/>
          <w:sz w:val="24"/>
          <w:szCs w:val="24"/>
        </w:rPr>
      </w:pPr>
    </w:p>
    <w:p w14:paraId="0DBAAA43" w14:textId="1DDDB6BC" w:rsidR="00E21FE9" w:rsidRPr="008A6A04" w:rsidRDefault="00E21FE9" w:rsidP="00E21FE9">
      <w:pPr>
        <w:rPr>
          <w:rFonts w:cstheme="minorHAnsi"/>
          <w:b/>
          <w:bCs/>
          <w:sz w:val="24"/>
          <w:szCs w:val="24"/>
        </w:rPr>
      </w:pPr>
      <w:r w:rsidRPr="008A6A04">
        <w:rPr>
          <w:rFonts w:cstheme="minorHAnsi"/>
          <w:b/>
          <w:bCs/>
          <w:sz w:val="24"/>
          <w:szCs w:val="24"/>
        </w:rPr>
        <w:t>Objectifs Spécifiques</w:t>
      </w:r>
    </w:p>
    <w:p w14:paraId="4D228F07" w14:textId="155684A8" w:rsidR="00E21FE9" w:rsidRPr="008A6A04" w:rsidRDefault="00E21FE9" w:rsidP="00E21FE9">
      <w:pPr>
        <w:pStyle w:val="ListParagraph"/>
        <w:numPr>
          <w:ilvl w:val="0"/>
          <w:numId w:val="38"/>
        </w:numPr>
        <w:rPr>
          <w:rFonts w:asciiTheme="minorHAnsi" w:hAnsiTheme="minorHAnsi" w:cstheme="minorHAnsi"/>
          <w:sz w:val="24"/>
          <w:szCs w:val="24"/>
        </w:rPr>
      </w:pPr>
      <w:r w:rsidRPr="008A6A04">
        <w:rPr>
          <w:rFonts w:asciiTheme="minorHAnsi" w:hAnsiTheme="minorHAnsi" w:cstheme="minorHAnsi"/>
          <w:sz w:val="24"/>
          <w:szCs w:val="24"/>
        </w:rPr>
        <w:t xml:space="preserve">Diagnostiquer et améliorer les modèles d’affaires des 5 entreprises (unit </w:t>
      </w:r>
      <w:proofErr w:type="spellStart"/>
      <w:r w:rsidRPr="008A6A04">
        <w:rPr>
          <w:rFonts w:asciiTheme="minorHAnsi" w:hAnsiTheme="minorHAnsi" w:cstheme="minorHAnsi"/>
          <w:sz w:val="24"/>
          <w:szCs w:val="24"/>
        </w:rPr>
        <w:t>economics</w:t>
      </w:r>
      <w:proofErr w:type="spellEnd"/>
      <w:r w:rsidRPr="008A6A04">
        <w:rPr>
          <w:rFonts w:asciiTheme="minorHAnsi" w:hAnsiTheme="minorHAnsi" w:cstheme="minorHAnsi"/>
          <w:sz w:val="24"/>
          <w:szCs w:val="24"/>
        </w:rPr>
        <w:t>, flux de revenus, coûts, prix, canaux) et leur faisabilité par rapport à la réalité terrain.</w:t>
      </w:r>
    </w:p>
    <w:p w14:paraId="41D5CC58" w14:textId="04628F8A" w:rsidR="00E21FE9" w:rsidRPr="008A6A04" w:rsidRDefault="00E21FE9" w:rsidP="00E21FE9">
      <w:pPr>
        <w:pStyle w:val="ListParagraph"/>
        <w:numPr>
          <w:ilvl w:val="0"/>
          <w:numId w:val="38"/>
        </w:numPr>
        <w:rPr>
          <w:rFonts w:asciiTheme="minorHAnsi" w:hAnsiTheme="minorHAnsi" w:cstheme="minorHAnsi"/>
          <w:sz w:val="24"/>
          <w:szCs w:val="24"/>
        </w:rPr>
      </w:pPr>
      <w:r w:rsidRPr="008A6A04">
        <w:rPr>
          <w:rFonts w:asciiTheme="minorHAnsi" w:hAnsiTheme="minorHAnsi" w:cstheme="minorHAnsi"/>
          <w:sz w:val="24"/>
          <w:szCs w:val="24"/>
        </w:rPr>
        <w:t xml:space="preserve">Concevoir des outils standardisés de présentation (pitch deck, teaser financier, </w:t>
      </w:r>
      <w:r w:rsidR="00073153" w:rsidRPr="008A6A04">
        <w:rPr>
          <w:rFonts w:asciiTheme="minorHAnsi" w:hAnsiTheme="minorHAnsi" w:cstheme="minorHAnsi"/>
          <w:sz w:val="24"/>
          <w:szCs w:val="24"/>
        </w:rPr>
        <w:t>etc.</w:t>
      </w:r>
      <w:r w:rsidRPr="008A6A04">
        <w:rPr>
          <w:rFonts w:asciiTheme="minorHAnsi" w:hAnsiTheme="minorHAnsi" w:cstheme="minorHAnsi"/>
          <w:sz w:val="24"/>
          <w:szCs w:val="24"/>
        </w:rPr>
        <w:t>) adaptés aux IMF et fonds.</w:t>
      </w:r>
    </w:p>
    <w:p w14:paraId="29021689" w14:textId="4B6EA61D" w:rsidR="00E21FE9" w:rsidRPr="008A6A04" w:rsidRDefault="00E21FE9" w:rsidP="00E21FE9">
      <w:pPr>
        <w:pStyle w:val="ListParagraph"/>
        <w:numPr>
          <w:ilvl w:val="0"/>
          <w:numId w:val="38"/>
        </w:numPr>
        <w:rPr>
          <w:rFonts w:asciiTheme="minorHAnsi" w:hAnsiTheme="minorHAnsi" w:cstheme="minorHAnsi"/>
          <w:sz w:val="24"/>
          <w:szCs w:val="24"/>
        </w:rPr>
      </w:pPr>
      <w:r w:rsidRPr="008A6A04">
        <w:rPr>
          <w:rFonts w:asciiTheme="minorHAnsi" w:hAnsiTheme="minorHAnsi" w:cstheme="minorHAnsi"/>
          <w:sz w:val="24"/>
          <w:szCs w:val="24"/>
        </w:rPr>
        <w:t xml:space="preserve">Identifier des partenaires </w:t>
      </w:r>
      <w:r w:rsidR="00073153" w:rsidRPr="008A6A04">
        <w:rPr>
          <w:rFonts w:asciiTheme="minorHAnsi" w:hAnsiTheme="minorHAnsi" w:cstheme="minorHAnsi"/>
          <w:sz w:val="24"/>
          <w:szCs w:val="24"/>
        </w:rPr>
        <w:t>financières</w:t>
      </w:r>
      <w:r w:rsidRPr="008A6A04">
        <w:rPr>
          <w:rFonts w:asciiTheme="minorHAnsi" w:hAnsiTheme="minorHAnsi" w:cstheme="minorHAnsi"/>
          <w:sz w:val="24"/>
          <w:szCs w:val="24"/>
        </w:rPr>
        <w:t xml:space="preserve"> potentiels des entreprises et, en collaboration avec l’équipe ABC, faciliter la mise en relation</w:t>
      </w:r>
      <w:r w:rsidR="00150B6C" w:rsidRPr="008A6A04">
        <w:rPr>
          <w:rFonts w:asciiTheme="minorHAnsi" w:hAnsiTheme="minorHAnsi" w:cstheme="minorHAnsi"/>
          <w:sz w:val="24"/>
          <w:szCs w:val="24"/>
        </w:rPr>
        <w:t xml:space="preserve"> </w:t>
      </w:r>
      <w:r w:rsidR="00BA1D14" w:rsidRPr="008A6A04">
        <w:rPr>
          <w:rFonts w:asciiTheme="minorHAnsi" w:hAnsiTheme="minorHAnsi" w:cstheme="minorHAnsi"/>
          <w:sz w:val="24"/>
          <w:szCs w:val="24"/>
        </w:rPr>
        <w:t>voire</w:t>
      </w:r>
      <w:r w:rsidR="00150B6C" w:rsidRPr="008A6A04">
        <w:rPr>
          <w:rFonts w:asciiTheme="minorHAnsi" w:hAnsiTheme="minorHAnsi" w:cstheme="minorHAnsi"/>
          <w:sz w:val="24"/>
          <w:szCs w:val="24"/>
        </w:rPr>
        <w:t xml:space="preserve"> le </w:t>
      </w:r>
      <w:r w:rsidR="00A9569F" w:rsidRPr="008A6A04">
        <w:rPr>
          <w:rFonts w:asciiTheme="minorHAnsi" w:hAnsiTheme="minorHAnsi" w:cstheme="minorHAnsi"/>
          <w:sz w:val="24"/>
          <w:szCs w:val="24"/>
        </w:rPr>
        <w:t xml:space="preserve">partenariat </w:t>
      </w:r>
      <w:r w:rsidR="00BA1D14" w:rsidRPr="008A6A04">
        <w:rPr>
          <w:rFonts w:asciiTheme="minorHAnsi" w:hAnsiTheme="minorHAnsi" w:cstheme="minorHAnsi"/>
          <w:sz w:val="24"/>
          <w:szCs w:val="24"/>
        </w:rPr>
        <w:t>gagnant-gagnant</w:t>
      </w:r>
    </w:p>
    <w:p w14:paraId="1C909444" w14:textId="402EFEE8" w:rsidR="00E21FE9" w:rsidRPr="008A6A04" w:rsidRDefault="00E21FE9" w:rsidP="00E21FE9">
      <w:pPr>
        <w:pStyle w:val="ListParagraph"/>
        <w:numPr>
          <w:ilvl w:val="0"/>
          <w:numId w:val="38"/>
        </w:numPr>
        <w:rPr>
          <w:rFonts w:asciiTheme="minorHAnsi" w:hAnsiTheme="minorHAnsi" w:cstheme="minorHAnsi"/>
          <w:sz w:val="24"/>
          <w:szCs w:val="24"/>
        </w:rPr>
      </w:pPr>
      <w:r w:rsidRPr="008A6A04">
        <w:rPr>
          <w:rFonts w:asciiTheme="minorHAnsi" w:hAnsiTheme="minorHAnsi" w:cstheme="minorHAnsi"/>
          <w:sz w:val="24"/>
          <w:szCs w:val="24"/>
        </w:rPr>
        <w:t>Conduire une analyse approfondie du business case utilisateur final sur la base de la réalité terrain</w:t>
      </w:r>
    </w:p>
    <w:p w14:paraId="084B76C6" w14:textId="20B6CE06" w:rsidR="008A6A04" w:rsidRPr="008A6A04" w:rsidRDefault="008A6A04" w:rsidP="00C42388">
      <w:pPr>
        <w:pStyle w:val="Heading1"/>
        <w:rPr>
          <w:color w:val="00B0F0"/>
        </w:rPr>
      </w:pPr>
      <w:r w:rsidRPr="00067868">
        <w:t>Qualifications et compétences requises</w:t>
      </w:r>
    </w:p>
    <w:p w14:paraId="5218463F" w14:textId="77777777" w:rsidR="008A6A04" w:rsidRPr="008A6A04" w:rsidRDefault="008A6A04" w:rsidP="008A6A04">
      <w:pPr>
        <w:rPr>
          <w:rFonts w:cstheme="minorHAnsi"/>
          <w:bCs/>
          <w:sz w:val="24"/>
          <w:szCs w:val="24"/>
        </w:rPr>
      </w:pPr>
    </w:p>
    <w:p w14:paraId="084BC132" w14:textId="77777777" w:rsidR="008A6A04" w:rsidRPr="008A6A04" w:rsidRDefault="008A6A04" w:rsidP="008A6A04">
      <w:pPr>
        <w:spacing w:after="120"/>
        <w:jc w:val="both"/>
        <w:rPr>
          <w:rFonts w:cstheme="minorHAnsi"/>
          <w:sz w:val="24"/>
          <w:szCs w:val="24"/>
        </w:rPr>
      </w:pPr>
      <w:r w:rsidRPr="008A6A04">
        <w:rPr>
          <w:rFonts w:cstheme="minorHAnsi"/>
          <w:sz w:val="24"/>
          <w:szCs w:val="24"/>
        </w:rPr>
        <w:t>L’expert ou le personnel qui sera affecté sur la mission (dans le cas des cabinets, consultant individuel) doit justifier de :</w:t>
      </w:r>
    </w:p>
    <w:p w14:paraId="5D3F5AA0" w14:textId="77777777" w:rsidR="008A6A04" w:rsidRPr="008A6A04" w:rsidRDefault="008A6A04" w:rsidP="008A6A04">
      <w:pPr>
        <w:pStyle w:val="ListParagraph"/>
        <w:numPr>
          <w:ilvl w:val="0"/>
          <w:numId w:val="42"/>
        </w:numPr>
        <w:tabs>
          <w:tab w:val="clear" w:pos="0"/>
          <w:tab w:val="clear" w:pos="794"/>
          <w:tab w:val="clear" w:pos="1588"/>
          <w:tab w:val="clear" w:pos="2381"/>
          <w:tab w:val="clear" w:pos="3175"/>
          <w:tab w:val="clear" w:pos="3969"/>
          <w:tab w:val="clear" w:pos="4763"/>
          <w:tab w:val="clear" w:pos="5557"/>
          <w:tab w:val="clear" w:pos="6350"/>
          <w:tab w:val="clear" w:pos="7144"/>
        </w:tabs>
        <w:spacing w:after="120" w:line="240" w:lineRule="auto"/>
        <w:ind w:left="714" w:hanging="357"/>
        <w:jc w:val="both"/>
        <w:rPr>
          <w:rFonts w:asciiTheme="minorHAnsi" w:hAnsiTheme="minorHAnsi" w:cstheme="minorHAnsi"/>
          <w:sz w:val="24"/>
          <w:szCs w:val="24"/>
        </w:rPr>
      </w:pPr>
      <w:r w:rsidRPr="008A6A04">
        <w:rPr>
          <w:rFonts w:asciiTheme="minorHAnsi" w:hAnsiTheme="minorHAnsi" w:cstheme="minorHAnsi"/>
          <w:sz w:val="24"/>
          <w:szCs w:val="24"/>
        </w:rPr>
        <w:t>Diplôme Universitaire (BAC+4) ou équivalent en finance, administration des affaires, économie, énergie renouvelable, changement climatique ou dans une discipline connexe ;</w:t>
      </w:r>
    </w:p>
    <w:p w14:paraId="6284A68E" w14:textId="77777777" w:rsidR="008A6A04" w:rsidRPr="008A6A04" w:rsidRDefault="008A6A04" w:rsidP="008A6A04">
      <w:pPr>
        <w:pStyle w:val="ListParagraph"/>
        <w:numPr>
          <w:ilvl w:val="0"/>
          <w:numId w:val="42"/>
        </w:numPr>
        <w:tabs>
          <w:tab w:val="clear" w:pos="0"/>
          <w:tab w:val="clear" w:pos="794"/>
          <w:tab w:val="clear" w:pos="1588"/>
          <w:tab w:val="clear" w:pos="2381"/>
          <w:tab w:val="clear" w:pos="3175"/>
          <w:tab w:val="clear" w:pos="3969"/>
          <w:tab w:val="clear" w:pos="4763"/>
          <w:tab w:val="clear" w:pos="5557"/>
          <w:tab w:val="clear" w:pos="6350"/>
          <w:tab w:val="clear" w:pos="7144"/>
        </w:tabs>
        <w:spacing w:after="120" w:line="240" w:lineRule="auto"/>
        <w:ind w:left="714" w:hanging="357"/>
        <w:jc w:val="both"/>
        <w:rPr>
          <w:rFonts w:asciiTheme="minorHAnsi" w:hAnsiTheme="minorHAnsi" w:cstheme="minorHAnsi"/>
          <w:sz w:val="24"/>
          <w:szCs w:val="24"/>
        </w:rPr>
      </w:pPr>
      <w:r w:rsidRPr="008A6A04">
        <w:rPr>
          <w:rFonts w:asciiTheme="minorHAnsi" w:hAnsiTheme="minorHAnsi" w:cstheme="minorHAnsi"/>
          <w:sz w:val="24"/>
          <w:szCs w:val="24"/>
        </w:rPr>
        <w:t xml:space="preserve">Avoir au moins 10 ans d'expérience professionnelle dans le domaine de l’entreprenariat, la gestion d’entreprises </w:t>
      </w:r>
    </w:p>
    <w:p w14:paraId="15F68E26" w14:textId="77777777" w:rsidR="008A6A04" w:rsidRPr="008A6A04" w:rsidRDefault="008A6A04" w:rsidP="008A6A04">
      <w:pPr>
        <w:pStyle w:val="ListParagraph"/>
        <w:numPr>
          <w:ilvl w:val="0"/>
          <w:numId w:val="42"/>
        </w:numPr>
        <w:tabs>
          <w:tab w:val="clear" w:pos="0"/>
          <w:tab w:val="clear" w:pos="794"/>
          <w:tab w:val="clear" w:pos="1588"/>
          <w:tab w:val="clear" w:pos="2381"/>
          <w:tab w:val="clear" w:pos="3175"/>
          <w:tab w:val="clear" w:pos="3969"/>
          <w:tab w:val="clear" w:pos="4763"/>
          <w:tab w:val="clear" w:pos="5557"/>
          <w:tab w:val="clear" w:pos="6350"/>
          <w:tab w:val="clear" w:pos="7144"/>
        </w:tabs>
        <w:spacing w:after="120" w:line="240" w:lineRule="auto"/>
        <w:ind w:left="714" w:hanging="357"/>
        <w:jc w:val="both"/>
        <w:rPr>
          <w:rFonts w:asciiTheme="minorHAnsi" w:hAnsiTheme="minorHAnsi" w:cstheme="minorHAnsi"/>
          <w:sz w:val="24"/>
          <w:szCs w:val="24"/>
        </w:rPr>
      </w:pPr>
      <w:r w:rsidRPr="008A6A04">
        <w:rPr>
          <w:rFonts w:asciiTheme="minorHAnsi" w:hAnsiTheme="minorHAnsi" w:cstheme="minorHAnsi"/>
          <w:sz w:val="24"/>
          <w:szCs w:val="24"/>
        </w:rPr>
        <w:t>Avoir une bonne expérience en finances carbones, cuisson propre et production de foyers améliorés ;</w:t>
      </w:r>
    </w:p>
    <w:p w14:paraId="2EB8053F" w14:textId="77777777" w:rsidR="008A6A04" w:rsidRPr="008A6A04" w:rsidRDefault="008A6A04" w:rsidP="008A6A04">
      <w:pPr>
        <w:pStyle w:val="ListParagraph"/>
        <w:numPr>
          <w:ilvl w:val="0"/>
          <w:numId w:val="42"/>
        </w:numPr>
        <w:tabs>
          <w:tab w:val="clear" w:pos="0"/>
          <w:tab w:val="clear" w:pos="794"/>
          <w:tab w:val="clear" w:pos="1588"/>
          <w:tab w:val="clear" w:pos="2381"/>
          <w:tab w:val="clear" w:pos="3175"/>
          <w:tab w:val="clear" w:pos="3969"/>
          <w:tab w:val="clear" w:pos="4763"/>
          <w:tab w:val="clear" w:pos="5557"/>
          <w:tab w:val="clear" w:pos="6350"/>
          <w:tab w:val="clear" w:pos="7144"/>
        </w:tabs>
        <w:spacing w:after="120" w:line="240" w:lineRule="auto"/>
        <w:ind w:left="714" w:hanging="357"/>
        <w:jc w:val="both"/>
        <w:rPr>
          <w:rFonts w:asciiTheme="minorHAnsi" w:hAnsiTheme="minorHAnsi" w:cstheme="minorHAnsi"/>
          <w:sz w:val="24"/>
          <w:szCs w:val="24"/>
        </w:rPr>
      </w:pPr>
      <w:r w:rsidRPr="008A6A04">
        <w:rPr>
          <w:rFonts w:asciiTheme="minorHAnsi" w:hAnsiTheme="minorHAnsi" w:cstheme="minorHAnsi"/>
          <w:sz w:val="24"/>
          <w:szCs w:val="24"/>
        </w:rPr>
        <w:t>Avoir au moins 10 ans d'expérience professionnelle dans le développement de plans d’affaires ;</w:t>
      </w:r>
    </w:p>
    <w:p w14:paraId="64AE19A0" w14:textId="77777777" w:rsidR="008A6A04" w:rsidRPr="008A6A04" w:rsidRDefault="008A6A04" w:rsidP="008A6A04">
      <w:pPr>
        <w:pStyle w:val="ListParagraph"/>
        <w:numPr>
          <w:ilvl w:val="0"/>
          <w:numId w:val="42"/>
        </w:numPr>
        <w:tabs>
          <w:tab w:val="clear" w:pos="0"/>
          <w:tab w:val="clear" w:pos="794"/>
          <w:tab w:val="clear" w:pos="1588"/>
          <w:tab w:val="clear" w:pos="2381"/>
          <w:tab w:val="clear" w:pos="3175"/>
          <w:tab w:val="clear" w:pos="3969"/>
          <w:tab w:val="clear" w:pos="4763"/>
          <w:tab w:val="clear" w:pos="5557"/>
          <w:tab w:val="clear" w:pos="6350"/>
          <w:tab w:val="clear" w:pos="7144"/>
        </w:tabs>
        <w:spacing w:after="120" w:line="240" w:lineRule="auto"/>
        <w:ind w:left="714" w:hanging="357"/>
        <w:jc w:val="both"/>
        <w:rPr>
          <w:rFonts w:asciiTheme="minorHAnsi" w:hAnsiTheme="minorHAnsi" w:cstheme="minorHAnsi"/>
          <w:sz w:val="24"/>
          <w:szCs w:val="24"/>
        </w:rPr>
      </w:pPr>
      <w:r w:rsidRPr="008A6A04">
        <w:rPr>
          <w:rFonts w:asciiTheme="minorHAnsi" w:hAnsiTheme="minorHAnsi" w:cstheme="minorHAnsi"/>
          <w:sz w:val="24"/>
          <w:szCs w:val="24"/>
        </w:rPr>
        <w:t>Avoir déjà réalisé au minimum 10 plans d’affaires pour les entreprises ;</w:t>
      </w:r>
    </w:p>
    <w:p w14:paraId="061A03DE" w14:textId="77777777" w:rsidR="008A6A04" w:rsidRPr="008A6A04" w:rsidRDefault="008A6A04" w:rsidP="008A6A04">
      <w:pPr>
        <w:pStyle w:val="ListParagraph"/>
        <w:numPr>
          <w:ilvl w:val="0"/>
          <w:numId w:val="42"/>
        </w:numPr>
        <w:tabs>
          <w:tab w:val="clear" w:pos="0"/>
          <w:tab w:val="clear" w:pos="794"/>
          <w:tab w:val="clear" w:pos="1588"/>
          <w:tab w:val="clear" w:pos="2381"/>
          <w:tab w:val="clear" w:pos="3175"/>
          <w:tab w:val="clear" w:pos="3969"/>
          <w:tab w:val="clear" w:pos="4763"/>
          <w:tab w:val="clear" w:pos="5557"/>
          <w:tab w:val="clear" w:pos="6350"/>
          <w:tab w:val="clear" w:pos="7144"/>
        </w:tabs>
        <w:spacing w:after="120" w:line="240" w:lineRule="auto"/>
        <w:ind w:left="714" w:hanging="357"/>
        <w:jc w:val="both"/>
        <w:rPr>
          <w:rFonts w:asciiTheme="minorHAnsi" w:hAnsiTheme="minorHAnsi" w:cstheme="minorHAnsi"/>
          <w:sz w:val="24"/>
          <w:szCs w:val="24"/>
        </w:rPr>
      </w:pPr>
      <w:r w:rsidRPr="008A6A04">
        <w:rPr>
          <w:rFonts w:asciiTheme="minorHAnsi" w:hAnsiTheme="minorHAnsi" w:cstheme="minorHAnsi"/>
          <w:sz w:val="24"/>
          <w:szCs w:val="24"/>
        </w:rPr>
        <w:t>Avoir réalisé au moins 3 plans d’affaire dans le domaine des énergies renouvelables de préférence dans la production ou distribution de foyers améliorés ;</w:t>
      </w:r>
    </w:p>
    <w:p w14:paraId="2F130EFA" w14:textId="77777777" w:rsidR="008A6A04" w:rsidRPr="008A6A04" w:rsidRDefault="008A6A04" w:rsidP="008A6A04">
      <w:pPr>
        <w:pStyle w:val="ListParagraph"/>
        <w:numPr>
          <w:ilvl w:val="0"/>
          <w:numId w:val="42"/>
        </w:numPr>
        <w:tabs>
          <w:tab w:val="clear" w:pos="0"/>
          <w:tab w:val="clear" w:pos="794"/>
          <w:tab w:val="clear" w:pos="1588"/>
          <w:tab w:val="clear" w:pos="2381"/>
          <w:tab w:val="clear" w:pos="3175"/>
          <w:tab w:val="clear" w:pos="3969"/>
          <w:tab w:val="clear" w:pos="4763"/>
          <w:tab w:val="clear" w:pos="5557"/>
          <w:tab w:val="clear" w:pos="6350"/>
          <w:tab w:val="clear" w:pos="7144"/>
        </w:tabs>
        <w:spacing w:after="120" w:line="240" w:lineRule="auto"/>
        <w:ind w:left="714" w:hanging="357"/>
        <w:jc w:val="both"/>
        <w:rPr>
          <w:rFonts w:asciiTheme="minorHAnsi" w:hAnsiTheme="minorHAnsi" w:cstheme="minorHAnsi"/>
          <w:sz w:val="24"/>
          <w:szCs w:val="24"/>
        </w:rPr>
      </w:pPr>
      <w:r w:rsidRPr="008A6A04">
        <w:rPr>
          <w:rFonts w:asciiTheme="minorHAnsi" w:hAnsiTheme="minorHAnsi" w:cstheme="minorHAnsi"/>
          <w:sz w:val="24"/>
          <w:szCs w:val="24"/>
        </w:rPr>
        <w:t>Avoir une bonne connaissance des outils et approche d’analyse de marché et de stratégie marketing ;</w:t>
      </w:r>
    </w:p>
    <w:p w14:paraId="0932508F" w14:textId="77777777" w:rsidR="008A6A04" w:rsidRPr="008A6A04" w:rsidRDefault="008A6A04" w:rsidP="008A6A04">
      <w:pPr>
        <w:pStyle w:val="ListParagraph"/>
        <w:numPr>
          <w:ilvl w:val="0"/>
          <w:numId w:val="42"/>
        </w:numPr>
        <w:tabs>
          <w:tab w:val="clear" w:pos="0"/>
          <w:tab w:val="clear" w:pos="794"/>
          <w:tab w:val="clear" w:pos="1588"/>
          <w:tab w:val="clear" w:pos="2381"/>
          <w:tab w:val="clear" w:pos="3175"/>
          <w:tab w:val="clear" w:pos="3969"/>
          <w:tab w:val="clear" w:pos="4763"/>
          <w:tab w:val="clear" w:pos="5557"/>
          <w:tab w:val="clear" w:pos="6350"/>
          <w:tab w:val="clear" w:pos="7144"/>
        </w:tabs>
        <w:spacing w:after="120" w:line="240" w:lineRule="auto"/>
        <w:ind w:left="714" w:hanging="357"/>
        <w:jc w:val="both"/>
        <w:rPr>
          <w:rFonts w:asciiTheme="minorHAnsi" w:hAnsiTheme="minorHAnsi" w:cstheme="minorHAnsi"/>
          <w:sz w:val="24"/>
          <w:szCs w:val="24"/>
        </w:rPr>
      </w:pPr>
      <w:r w:rsidRPr="008A6A04">
        <w:rPr>
          <w:rFonts w:asciiTheme="minorHAnsi" w:hAnsiTheme="minorHAnsi" w:cstheme="minorHAnsi"/>
          <w:sz w:val="24"/>
          <w:szCs w:val="24"/>
        </w:rPr>
        <w:t>La connaissance de la langue nationale bambara et une solide expérience dans l’accompagnement des acteurs de production de technologies de cuisson.</w:t>
      </w:r>
    </w:p>
    <w:p w14:paraId="6A493937" w14:textId="77777777" w:rsidR="008A6A04" w:rsidRPr="008A6A04" w:rsidRDefault="008A6A04" w:rsidP="008A6A04">
      <w:pPr>
        <w:pStyle w:val="Heading2"/>
        <w:keepNext w:val="0"/>
        <w:keepLines w:val="0"/>
        <w:numPr>
          <w:ilvl w:val="0"/>
          <w:numId w:val="0"/>
        </w:numPr>
        <w:tabs>
          <w:tab w:val="left" w:pos="555"/>
        </w:tabs>
        <w:spacing w:before="0"/>
        <w:rPr>
          <w:rFonts w:asciiTheme="minorHAnsi" w:hAnsiTheme="minorHAnsi" w:cstheme="minorHAnsi"/>
          <w:szCs w:val="24"/>
        </w:rPr>
      </w:pPr>
    </w:p>
    <w:p w14:paraId="1624E6D3" w14:textId="3A53619C" w:rsidR="008A6A04" w:rsidRPr="00067868" w:rsidRDefault="008A6A04" w:rsidP="00C42388">
      <w:pPr>
        <w:pStyle w:val="Heading1"/>
      </w:pPr>
      <w:r w:rsidRPr="00067868">
        <w:t xml:space="preserve">Contenu des offres </w:t>
      </w:r>
    </w:p>
    <w:p w14:paraId="20B7D916" w14:textId="77777777" w:rsidR="008A6A04" w:rsidRPr="008A6A04" w:rsidRDefault="008A6A04" w:rsidP="008A6A04">
      <w:pPr>
        <w:pStyle w:val="BodyText"/>
        <w:spacing w:before="10"/>
        <w:rPr>
          <w:rFonts w:asciiTheme="minorHAnsi" w:hAnsiTheme="minorHAnsi" w:cstheme="minorHAnsi"/>
          <w:b/>
          <w:sz w:val="24"/>
          <w:szCs w:val="24"/>
          <w:lang w:val="fr-FR"/>
        </w:rPr>
      </w:pPr>
    </w:p>
    <w:p w14:paraId="480FEFD1" w14:textId="77777777" w:rsidR="008A6A04" w:rsidRPr="008A6A04" w:rsidRDefault="008A6A04" w:rsidP="008A6A04">
      <w:pPr>
        <w:spacing w:after="120"/>
        <w:jc w:val="both"/>
        <w:rPr>
          <w:rFonts w:cstheme="minorHAnsi"/>
          <w:sz w:val="24"/>
          <w:szCs w:val="24"/>
        </w:rPr>
      </w:pPr>
      <w:r w:rsidRPr="008A6A04">
        <w:rPr>
          <w:rFonts w:cstheme="minorHAnsi"/>
          <w:b/>
          <w:sz w:val="24"/>
          <w:szCs w:val="24"/>
        </w:rPr>
        <w:t xml:space="preserve">L’offre technique </w:t>
      </w:r>
      <w:r w:rsidRPr="008A6A04">
        <w:rPr>
          <w:rFonts w:cstheme="minorHAnsi"/>
          <w:sz w:val="24"/>
          <w:szCs w:val="24"/>
        </w:rPr>
        <w:t xml:space="preserve">devra contenir : </w:t>
      </w:r>
    </w:p>
    <w:p w14:paraId="26700210" w14:textId="77777777" w:rsidR="008A6A04" w:rsidRPr="008A6A04" w:rsidRDefault="008A6A04" w:rsidP="008A6A04">
      <w:pPr>
        <w:pStyle w:val="ListParagraph"/>
        <w:numPr>
          <w:ilvl w:val="0"/>
          <w:numId w:val="42"/>
        </w:numPr>
        <w:tabs>
          <w:tab w:val="clear" w:pos="0"/>
          <w:tab w:val="clear" w:pos="794"/>
          <w:tab w:val="clear" w:pos="1588"/>
          <w:tab w:val="clear" w:pos="2381"/>
          <w:tab w:val="clear" w:pos="3175"/>
          <w:tab w:val="clear" w:pos="3969"/>
          <w:tab w:val="clear" w:pos="4763"/>
          <w:tab w:val="clear" w:pos="5557"/>
          <w:tab w:val="clear" w:pos="6350"/>
          <w:tab w:val="clear" w:pos="7144"/>
        </w:tabs>
        <w:spacing w:after="120" w:line="240" w:lineRule="auto"/>
        <w:ind w:left="714" w:hanging="357"/>
        <w:jc w:val="both"/>
        <w:rPr>
          <w:rFonts w:asciiTheme="minorHAnsi" w:hAnsiTheme="minorHAnsi" w:cstheme="minorHAnsi"/>
          <w:sz w:val="24"/>
          <w:szCs w:val="24"/>
        </w:rPr>
      </w:pPr>
      <w:r w:rsidRPr="008A6A04">
        <w:rPr>
          <w:rFonts w:asciiTheme="minorHAnsi" w:hAnsiTheme="minorHAnsi" w:cstheme="minorHAnsi"/>
          <w:sz w:val="24"/>
          <w:szCs w:val="24"/>
        </w:rPr>
        <w:t xml:space="preserve">Une offre technique relative à la compréhension de la mission, l’approche méthodologique, les outils utilisés, un plan de travail détaillé, le délai d’exécution, les expériences similaires et au moins trois (3) références professionnelles. </w:t>
      </w:r>
    </w:p>
    <w:p w14:paraId="320BF130" w14:textId="77777777" w:rsidR="008A6A04" w:rsidRPr="008A6A04" w:rsidRDefault="008A6A04" w:rsidP="008A6A04">
      <w:pPr>
        <w:pStyle w:val="ListParagraph"/>
        <w:numPr>
          <w:ilvl w:val="0"/>
          <w:numId w:val="42"/>
        </w:numPr>
        <w:tabs>
          <w:tab w:val="clear" w:pos="0"/>
          <w:tab w:val="clear" w:pos="794"/>
          <w:tab w:val="clear" w:pos="1588"/>
          <w:tab w:val="clear" w:pos="2381"/>
          <w:tab w:val="clear" w:pos="3175"/>
          <w:tab w:val="clear" w:pos="3969"/>
          <w:tab w:val="clear" w:pos="4763"/>
          <w:tab w:val="clear" w:pos="5557"/>
          <w:tab w:val="clear" w:pos="6350"/>
          <w:tab w:val="clear" w:pos="7144"/>
        </w:tabs>
        <w:spacing w:after="120" w:line="240" w:lineRule="auto"/>
        <w:ind w:left="714" w:hanging="357"/>
        <w:jc w:val="both"/>
        <w:rPr>
          <w:rFonts w:asciiTheme="minorHAnsi" w:hAnsiTheme="minorHAnsi" w:cstheme="minorHAnsi"/>
          <w:sz w:val="24"/>
          <w:szCs w:val="24"/>
        </w:rPr>
      </w:pPr>
      <w:r w:rsidRPr="008A6A04">
        <w:rPr>
          <w:rFonts w:asciiTheme="minorHAnsi" w:hAnsiTheme="minorHAnsi" w:cstheme="minorHAnsi"/>
          <w:sz w:val="24"/>
          <w:szCs w:val="24"/>
        </w:rPr>
        <w:t>Le CV de l’expert ou du personnel qui sera affecté à la mission dans le cas des cabinets et consultant indépendant.</w:t>
      </w:r>
    </w:p>
    <w:p w14:paraId="0F307BF5" w14:textId="77777777" w:rsidR="008A6A04" w:rsidRPr="008A6A04" w:rsidRDefault="008A6A04" w:rsidP="008A6A04">
      <w:pPr>
        <w:pStyle w:val="ListParagraph"/>
        <w:numPr>
          <w:ilvl w:val="0"/>
          <w:numId w:val="42"/>
        </w:numPr>
        <w:tabs>
          <w:tab w:val="clear" w:pos="0"/>
          <w:tab w:val="clear" w:pos="794"/>
          <w:tab w:val="clear" w:pos="1588"/>
          <w:tab w:val="clear" w:pos="2381"/>
          <w:tab w:val="clear" w:pos="3175"/>
          <w:tab w:val="clear" w:pos="3969"/>
          <w:tab w:val="clear" w:pos="4763"/>
          <w:tab w:val="clear" w:pos="5557"/>
          <w:tab w:val="clear" w:pos="6350"/>
          <w:tab w:val="clear" w:pos="7144"/>
        </w:tabs>
        <w:spacing w:after="120" w:line="240" w:lineRule="auto"/>
        <w:ind w:left="714" w:hanging="357"/>
        <w:jc w:val="both"/>
        <w:rPr>
          <w:rFonts w:asciiTheme="minorHAnsi" w:hAnsiTheme="minorHAnsi" w:cstheme="minorHAnsi"/>
          <w:sz w:val="24"/>
          <w:szCs w:val="24"/>
        </w:rPr>
      </w:pPr>
      <w:r w:rsidRPr="008A6A04">
        <w:rPr>
          <w:rFonts w:asciiTheme="minorHAnsi" w:hAnsiTheme="minorHAnsi" w:cstheme="minorHAnsi"/>
          <w:sz w:val="24"/>
          <w:szCs w:val="24"/>
        </w:rPr>
        <w:t xml:space="preserve">La copie d’au moins 03 services rendu des principales missions similaires. </w:t>
      </w:r>
    </w:p>
    <w:p w14:paraId="5F387772" w14:textId="6E052FE0" w:rsidR="008A6A04" w:rsidRPr="00DA313E" w:rsidRDefault="008A6A04" w:rsidP="008A6A04">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spacing w:after="120" w:line="240" w:lineRule="auto"/>
        <w:ind w:left="714"/>
        <w:jc w:val="both"/>
        <w:rPr>
          <w:rFonts w:asciiTheme="minorHAnsi" w:hAnsiTheme="minorHAnsi" w:cstheme="minorHAnsi"/>
          <w:b/>
          <w:bCs/>
          <w:sz w:val="24"/>
          <w:szCs w:val="24"/>
        </w:rPr>
      </w:pPr>
      <w:r w:rsidRPr="00DA313E">
        <w:rPr>
          <w:rFonts w:asciiTheme="minorHAnsi" w:hAnsiTheme="minorHAnsi" w:cstheme="minorHAnsi"/>
          <w:b/>
          <w:bCs/>
          <w:sz w:val="24"/>
          <w:szCs w:val="24"/>
        </w:rPr>
        <w:t>NB :</w:t>
      </w:r>
    </w:p>
    <w:p w14:paraId="545510F7" w14:textId="77777777" w:rsidR="008A6A04" w:rsidRPr="008A6A04" w:rsidRDefault="008A6A04" w:rsidP="008A6A04">
      <w:pPr>
        <w:rPr>
          <w:rFonts w:cstheme="minorHAnsi"/>
          <w:b/>
          <w:bCs/>
          <w:sz w:val="24"/>
          <w:szCs w:val="24"/>
        </w:rPr>
      </w:pPr>
      <w:r w:rsidRPr="008A6A04">
        <w:rPr>
          <w:rFonts w:cstheme="minorHAnsi"/>
          <w:b/>
          <w:bCs/>
          <w:sz w:val="24"/>
          <w:szCs w:val="24"/>
        </w:rPr>
        <w:t xml:space="preserve">La proposition technique ne dépassant pas 3 pages contient : </w:t>
      </w:r>
    </w:p>
    <w:p w14:paraId="5E78A673" w14:textId="77777777" w:rsidR="008A6A04" w:rsidRPr="008A6A04" w:rsidRDefault="008A6A04" w:rsidP="008A6A04">
      <w:pPr>
        <w:rPr>
          <w:rFonts w:cstheme="minorHAnsi"/>
          <w:b/>
          <w:bCs/>
          <w:sz w:val="24"/>
          <w:szCs w:val="24"/>
        </w:rPr>
      </w:pPr>
    </w:p>
    <w:p w14:paraId="559677FF" w14:textId="585A3422" w:rsidR="008A6A04" w:rsidRPr="008A6A04" w:rsidRDefault="008A6A04" w:rsidP="008A6A04">
      <w:pPr>
        <w:pStyle w:val="ListParagraph"/>
        <w:numPr>
          <w:ilvl w:val="0"/>
          <w:numId w:val="40"/>
        </w:numPr>
        <w:rPr>
          <w:rFonts w:asciiTheme="minorHAnsi" w:hAnsiTheme="minorHAnsi" w:cstheme="minorHAnsi"/>
          <w:b/>
          <w:bCs/>
          <w:sz w:val="24"/>
          <w:szCs w:val="24"/>
        </w:rPr>
      </w:pPr>
      <w:r w:rsidRPr="008A6A04">
        <w:rPr>
          <w:rFonts w:asciiTheme="minorHAnsi" w:hAnsiTheme="minorHAnsi" w:cstheme="minorHAnsi"/>
          <w:b/>
          <w:bCs/>
          <w:sz w:val="24"/>
          <w:szCs w:val="24"/>
        </w:rPr>
        <w:t xml:space="preserve">Une compréhension et une interprétation des termes de référence. </w:t>
      </w:r>
      <w:r>
        <w:rPr>
          <w:rFonts w:asciiTheme="minorHAnsi" w:hAnsiTheme="minorHAnsi" w:cstheme="minorHAnsi"/>
          <w:b/>
          <w:bCs/>
          <w:sz w:val="24"/>
          <w:szCs w:val="24"/>
        </w:rPr>
        <w:t>(</w:t>
      </w:r>
      <w:r w:rsidRPr="008A6A04">
        <w:rPr>
          <w:rFonts w:asciiTheme="minorHAnsi" w:hAnsiTheme="minorHAnsi" w:cstheme="minorHAnsi"/>
          <w:b/>
          <w:bCs/>
          <w:sz w:val="24"/>
          <w:szCs w:val="24"/>
        </w:rPr>
        <w:t>0,5 page</w:t>
      </w:r>
      <w:r>
        <w:rPr>
          <w:rFonts w:asciiTheme="minorHAnsi" w:hAnsiTheme="minorHAnsi" w:cstheme="minorHAnsi"/>
          <w:b/>
          <w:bCs/>
          <w:sz w:val="24"/>
          <w:szCs w:val="24"/>
        </w:rPr>
        <w:t>)</w:t>
      </w:r>
    </w:p>
    <w:p w14:paraId="088652E6" w14:textId="1AD793A1" w:rsidR="008A6A04" w:rsidRPr="008A6A04" w:rsidRDefault="008A6A04" w:rsidP="008A6A04">
      <w:pPr>
        <w:pStyle w:val="ListParagraph"/>
        <w:numPr>
          <w:ilvl w:val="0"/>
          <w:numId w:val="40"/>
        </w:numPr>
        <w:rPr>
          <w:rFonts w:asciiTheme="minorHAnsi" w:hAnsiTheme="minorHAnsi" w:cstheme="minorHAnsi"/>
          <w:b/>
          <w:bCs/>
          <w:sz w:val="24"/>
          <w:szCs w:val="24"/>
        </w:rPr>
      </w:pPr>
      <w:r w:rsidRPr="008A6A04">
        <w:rPr>
          <w:rFonts w:asciiTheme="minorHAnsi" w:hAnsiTheme="minorHAnsi" w:cstheme="minorHAnsi"/>
          <w:b/>
          <w:bCs/>
          <w:sz w:val="24"/>
          <w:szCs w:val="24"/>
        </w:rPr>
        <w:t xml:space="preserve">La méthodologie à utiliser pour réaliser la mission, y compris les outils qui seront utilisés et un calendrier d’activités prévues. </w:t>
      </w:r>
      <w:r>
        <w:rPr>
          <w:rFonts w:asciiTheme="minorHAnsi" w:hAnsiTheme="minorHAnsi" w:cstheme="minorHAnsi"/>
          <w:b/>
          <w:bCs/>
          <w:sz w:val="24"/>
          <w:szCs w:val="24"/>
        </w:rPr>
        <w:t>(</w:t>
      </w:r>
      <w:r w:rsidRPr="008A6A04">
        <w:rPr>
          <w:rFonts w:asciiTheme="minorHAnsi" w:hAnsiTheme="minorHAnsi" w:cstheme="minorHAnsi"/>
          <w:b/>
          <w:bCs/>
          <w:sz w:val="24"/>
          <w:szCs w:val="24"/>
        </w:rPr>
        <w:t>2 pages</w:t>
      </w:r>
      <w:r>
        <w:rPr>
          <w:rFonts w:asciiTheme="minorHAnsi" w:hAnsiTheme="minorHAnsi" w:cstheme="minorHAnsi"/>
          <w:b/>
          <w:bCs/>
          <w:sz w:val="24"/>
          <w:szCs w:val="24"/>
        </w:rPr>
        <w:t>)</w:t>
      </w:r>
    </w:p>
    <w:p w14:paraId="2426EC31" w14:textId="4E5F2D27" w:rsidR="008A6A04" w:rsidRPr="008A6A04" w:rsidRDefault="008A6A04" w:rsidP="008A6A04">
      <w:pPr>
        <w:pStyle w:val="ListParagraph"/>
        <w:numPr>
          <w:ilvl w:val="0"/>
          <w:numId w:val="40"/>
        </w:numPr>
        <w:rPr>
          <w:rFonts w:asciiTheme="minorHAnsi" w:hAnsiTheme="minorHAnsi" w:cstheme="minorHAnsi"/>
          <w:b/>
          <w:bCs/>
          <w:sz w:val="24"/>
          <w:szCs w:val="24"/>
        </w:rPr>
      </w:pPr>
      <w:r w:rsidRPr="008A6A04">
        <w:rPr>
          <w:rFonts w:asciiTheme="minorHAnsi" w:hAnsiTheme="minorHAnsi" w:cstheme="minorHAnsi"/>
          <w:b/>
          <w:bCs/>
          <w:sz w:val="24"/>
          <w:szCs w:val="24"/>
        </w:rPr>
        <w:t xml:space="preserve">Le CV du/de la </w:t>
      </w:r>
      <w:proofErr w:type="spellStart"/>
      <w:proofErr w:type="gramStart"/>
      <w:r w:rsidRPr="008A6A04">
        <w:rPr>
          <w:rFonts w:asciiTheme="minorHAnsi" w:hAnsiTheme="minorHAnsi" w:cstheme="minorHAnsi"/>
          <w:b/>
          <w:bCs/>
          <w:sz w:val="24"/>
          <w:szCs w:val="24"/>
        </w:rPr>
        <w:t>consultant.e</w:t>
      </w:r>
      <w:proofErr w:type="spellEnd"/>
      <w:proofErr w:type="gramEnd"/>
      <w:r w:rsidRPr="008A6A04">
        <w:rPr>
          <w:rFonts w:asciiTheme="minorHAnsi" w:hAnsiTheme="minorHAnsi" w:cstheme="minorHAnsi"/>
          <w:b/>
          <w:bCs/>
          <w:sz w:val="24"/>
          <w:szCs w:val="24"/>
        </w:rPr>
        <w:t xml:space="preserve"> stipulant les expériences similaires. </w:t>
      </w:r>
      <w:r>
        <w:rPr>
          <w:rFonts w:asciiTheme="minorHAnsi" w:hAnsiTheme="minorHAnsi" w:cstheme="minorHAnsi"/>
          <w:b/>
          <w:bCs/>
          <w:sz w:val="24"/>
          <w:szCs w:val="24"/>
        </w:rPr>
        <w:t>(</w:t>
      </w:r>
      <w:r w:rsidRPr="008A6A04">
        <w:rPr>
          <w:rFonts w:asciiTheme="minorHAnsi" w:hAnsiTheme="minorHAnsi" w:cstheme="minorHAnsi"/>
          <w:b/>
          <w:bCs/>
          <w:sz w:val="24"/>
          <w:szCs w:val="24"/>
        </w:rPr>
        <w:t>2 pages</w:t>
      </w:r>
      <w:r>
        <w:rPr>
          <w:rFonts w:asciiTheme="minorHAnsi" w:hAnsiTheme="minorHAnsi" w:cstheme="minorHAnsi"/>
          <w:b/>
          <w:bCs/>
          <w:sz w:val="24"/>
          <w:szCs w:val="24"/>
        </w:rPr>
        <w:t>)</w:t>
      </w:r>
    </w:p>
    <w:p w14:paraId="52101E59" w14:textId="6353F8ED" w:rsidR="008A6A04" w:rsidRPr="008A6A04" w:rsidRDefault="008A6A04" w:rsidP="008A6A04">
      <w:pPr>
        <w:tabs>
          <w:tab w:val="left" w:pos="937"/>
        </w:tabs>
        <w:spacing w:before="3" w:line="237" w:lineRule="auto"/>
        <w:ind w:right="223"/>
        <w:jc w:val="both"/>
        <w:rPr>
          <w:rFonts w:cstheme="minorHAnsi"/>
          <w:sz w:val="24"/>
          <w:szCs w:val="24"/>
        </w:rPr>
      </w:pPr>
    </w:p>
    <w:p w14:paraId="4F692CF3" w14:textId="77777777" w:rsidR="008A6A04" w:rsidRPr="008A6A04" w:rsidRDefault="008A6A04" w:rsidP="008A6A04">
      <w:pPr>
        <w:tabs>
          <w:tab w:val="left" w:pos="577"/>
        </w:tabs>
        <w:ind w:right="216"/>
        <w:jc w:val="both"/>
        <w:rPr>
          <w:rFonts w:cstheme="minorHAnsi"/>
          <w:b/>
          <w:sz w:val="24"/>
          <w:szCs w:val="24"/>
        </w:rPr>
      </w:pPr>
      <w:r w:rsidRPr="008A6A04">
        <w:rPr>
          <w:rFonts w:cstheme="minorHAnsi"/>
          <w:b/>
          <w:sz w:val="24"/>
          <w:szCs w:val="24"/>
        </w:rPr>
        <w:t xml:space="preserve">L’offre financière </w:t>
      </w:r>
    </w:p>
    <w:p w14:paraId="10EE4058" w14:textId="77777777" w:rsidR="008A6A04" w:rsidRPr="008A6A04" w:rsidRDefault="008A6A04" w:rsidP="008A6A04">
      <w:pPr>
        <w:tabs>
          <w:tab w:val="left" w:pos="577"/>
        </w:tabs>
        <w:ind w:right="216"/>
        <w:jc w:val="both"/>
        <w:rPr>
          <w:rFonts w:cstheme="minorHAnsi"/>
          <w:b/>
          <w:sz w:val="24"/>
          <w:szCs w:val="24"/>
        </w:rPr>
      </w:pPr>
    </w:p>
    <w:p w14:paraId="1F27302F" w14:textId="77777777" w:rsidR="008A6A04" w:rsidRPr="008A6A04" w:rsidRDefault="008A6A04" w:rsidP="008A6A04">
      <w:pPr>
        <w:tabs>
          <w:tab w:val="left" w:pos="577"/>
        </w:tabs>
        <w:ind w:right="216"/>
        <w:jc w:val="both"/>
        <w:rPr>
          <w:rFonts w:cstheme="minorHAnsi"/>
          <w:sz w:val="24"/>
          <w:szCs w:val="24"/>
        </w:rPr>
      </w:pPr>
      <w:r w:rsidRPr="008A6A04">
        <w:rPr>
          <w:rFonts w:cstheme="minorHAnsi"/>
          <w:sz w:val="24"/>
          <w:szCs w:val="24"/>
        </w:rPr>
        <w:t>Précisera le tarif journalier du consultant (en F.CFA) ainsi que les détails</w:t>
      </w:r>
      <w:r w:rsidRPr="008A6A04">
        <w:rPr>
          <w:rFonts w:cstheme="minorHAnsi"/>
          <w:spacing w:val="-6"/>
          <w:sz w:val="24"/>
          <w:szCs w:val="24"/>
        </w:rPr>
        <w:t xml:space="preserve"> </w:t>
      </w:r>
      <w:r w:rsidRPr="008A6A04">
        <w:rPr>
          <w:rFonts w:cstheme="minorHAnsi"/>
          <w:sz w:val="24"/>
          <w:szCs w:val="24"/>
        </w:rPr>
        <w:t>des</w:t>
      </w:r>
      <w:r w:rsidRPr="008A6A04">
        <w:rPr>
          <w:rFonts w:cstheme="minorHAnsi"/>
          <w:spacing w:val="-6"/>
          <w:sz w:val="24"/>
          <w:szCs w:val="24"/>
        </w:rPr>
        <w:t xml:space="preserve"> </w:t>
      </w:r>
      <w:r w:rsidRPr="008A6A04">
        <w:rPr>
          <w:rFonts w:cstheme="minorHAnsi"/>
          <w:sz w:val="24"/>
          <w:szCs w:val="24"/>
        </w:rPr>
        <w:t>autres</w:t>
      </w:r>
      <w:r w:rsidRPr="008A6A04">
        <w:rPr>
          <w:rFonts w:cstheme="minorHAnsi"/>
          <w:spacing w:val="-3"/>
          <w:sz w:val="24"/>
          <w:szCs w:val="24"/>
        </w:rPr>
        <w:t xml:space="preserve"> </w:t>
      </w:r>
      <w:r w:rsidRPr="008A6A04">
        <w:rPr>
          <w:rFonts w:cstheme="minorHAnsi"/>
          <w:sz w:val="24"/>
          <w:szCs w:val="24"/>
        </w:rPr>
        <w:t>frais,</w:t>
      </w:r>
      <w:r w:rsidRPr="008A6A04">
        <w:rPr>
          <w:rFonts w:cstheme="minorHAnsi"/>
          <w:spacing w:val="-3"/>
          <w:sz w:val="24"/>
          <w:szCs w:val="24"/>
        </w:rPr>
        <w:t xml:space="preserve"> </w:t>
      </w:r>
      <w:r w:rsidRPr="008A6A04">
        <w:rPr>
          <w:rFonts w:cstheme="minorHAnsi"/>
          <w:sz w:val="24"/>
          <w:szCs w:val="24"/>
        </w:rPr>
        <w:t>et</w:t>
      </w:r>
      <w:r w:rsidRPr="008A6A04">
        <w:rPr>
          <w:rFonts w:cstheme="minorHAnsi"/>
          <w:spacing w:val="-5"/>
          <w:sz w:val="24"/>
          <w:szCs w:val="24"/>
        </w:rPr>
        <w:t xml:space="preserve"> </w:t>
      </w:r>
      <w:r w:rsidRPr="008A6A04">
        <w:rPr>
          <w:rFonts w:cstheme="minorHAnsi"/>
          <w:sz w:val="24"/>
          <w:szCs w:val="24"/>
        </w:rPr>
        <w:t>le</w:t>
      </w:r>
      <w:r w:rsidRPr="008A6A04">
        <w:rPr>
          <w:rFonts w:cstheme="minorHAnsi"/>
          <w:spacing w:val="-6"/>
          <w:sz w:val="24"/>
          <w:szCs w:val="24"/>
        </w:rPr>
        <w:t xml:space="preserve"> </w:t>
      </w:r>
      <w:r w:rsidRPr="008A6A04">
        <w:rPr>
          <w:rFonts w:cstheme="minorHAnsi"/>
          <w:sz w:val="24"/>
          <w:szCs w:val="24"/>
        </w:rPr>
        <w:t>montant</w:t>
      </w:r>
      <w:r w:rsidRPr="008A6A04">
        <w:rPr>
          <w:rFonts w:cstheme="minorHAnsi"/>
          <w:spacing w:val="-5"/>
          <w:sz w:val="24"/>
          <w:szCs w:val="24"/>
        </w:rPr>
        <w:t xml:space="preserve"> </w:t>
      </w:r>
      <w:r w:rsidRPr="008A6A04">
        <w:rPr>
          <w:rFonts w:cstheme="minorHAnsi"/>
          <w:sz w:val="24"/>
          <w:szCs w:val="24"/>
        </w:rPr>
        <w:t>total</w:t>
      </w:r>
      <w:r w:rsidRPr="008A6A04">
        <w:rPr>
          <w:rFonts w:cstheme="minorHAnsi"/>
          <w:spacing w:val="-4"/>
          <w:sz w:val="24"/>
          <w:szCs w:val="24"/>
        </w:rPr>
        <w:t xml:space="preserve"> </w:t>
      </w:r>
      <w:r w:rsidRPr="008A6A04">
        <w:rPr>
          <w:rFonts w:cstheme="minorHAnsi"/>
          <w:sz w:val="24"/>
          <w:szCs w:val="24"/>
        </w:rPr>
        <w:t>de</w:t>
      </w:r>
      <w:r w:rsidRPr="008A6A04">
        <w:rPr>
          <w:rFonts w:cstheme="minorHAnsi"/>
          <w:spacing w:val="-6"/>
          <w:sz w:val="24"/>
          <w:szCs w:val="24"/>
        </w:rPr>
        <w:t xml:space="preserve"> </w:t>
      </w:r>
      <w:r w:rsidRPr="008A6A04">
        <w:rPr>
          <w:rFonts w:cstheme="minorHAnsi"/>
          <w:sz w:val="24"/>
          <w:szCs w:val="24"/>
        </w:rPr>
        <w:t>la</w:t>
      </w:r>
      <w:r w:rsidRPr="008A6A04">
        <w:rPr>
          <w:rFonts w:cstheme="minorHAnsi"/>
          <w:spacing w:val="-3"/>
          <w:sz w:val="24"/>
          <w:szCs w:val="24"/>
        </w:rPr>
        <w:t xml:space="preserve"> </w:t>
      </w:r>
      <w:r w:rsidRPr="008A6A04">
        <w:rPr>
          <w:rFonts w:cstheme="minorHAnsi"/>
          <w:sz w:val="24"/>
          <w:szCs w:val="24"/>
        </w:rPr>
        <w:t>prestation.</w:t>
      </w:r>
      <w:r w:rsidRPr="008A6A04">
        <w:rPr>
          <w:rFonts w:cstheme="minorHAnsi"/>
          <w:spacing w:val="-6"/>
          <w:sz w:val="24"/>
          <w:szCs w:val="24"/>
        </w:rPr>
        <w:t xml:space="preserve"> </w:t>
      </w:r>
      <w:r w:rsidRPr="008A6A04">
        <w:rPr>
          <w:rFonts w:cstheme="minorHAnsi"/>
          <w:sz w:val="24"/>
          <w:szCs w:val="24"/>
        </w:rPr>
        <w:t>Une lettre de soumission accompagnera les propositions techniques et financières.</w:t>
      </w:r>
    </w:p>
    <w:p w14:paraId="3D70481A" w14:textId="77777777" w:rsidR="008A6A04" w:rsidRPr="008A6A04" w:rsidRDefault="008A6A04" w:rsidP="008A6A04">
      <w:pPr>
        <w:tabs>
          <w:tab w:val="left" w:pos="577"/>
        </w:tabs>
        <w:ind w:right="216"/>
        <w:jc w:val="both"/>
        <w:rPr>
          <w:rFonts w:cstheme="minorHAnsi"/>
          <w:sz w:val="24"/>
          <w:szCs w:val="24"/>
        </w:rPr>
      </w:pPr>
    </w:p>
    <w:p w14:paraId="178ADCCC" w14:textId="77777777" w:rsidR="008A6A04" w:rsidRPr="008A6A04" w:rsidRDefault="008A6A04" w:rsidP="008A6A04">
      <w:pPr>
        <w:spacing w:line="276" w:lineRule="auto"/>
        <w:jc w:val="both"/>
        <w:rPr>
          <w:rFonts w:cstheme="minorHAnsi"/>
          <w:sz w:val="24"/>
          <w:szCs w:val="24"/>
        </w:rPr>
      </w:pPr>
      <w:r w:rsidRPr="008A6A04">
        <w:rPr>
          <w:rFonts w:cstheme="minorHAnsi"/>
          <w:b/>
          <w:bCs/>
          <w:sz w:val="24"/>
          <w:szCs w:val="24"/>
        </w:rPr>
        <w:t>Les offres doivent aussi contenir les éléments administratifs suivants</w:t>
      </w:r>
      <w:r w:rsidRPr="008A6A04">
        <w:rPr>
          <w:rFonts w:cstheme="minorHAnsi"/>
          <w:sz w:val="24"/>
          <w:szCs w:val="24"/>
        </w:rPr>
        <w:t xml:space="preserve"> :</w:t>
      </w:r>
    </w:p>
    <w:p w14:paraId="45453F4C" w14:textId="77777777" w:rsidR="008A6A04" w:rsidRPr="008A6A04" w:rsidRDefault="008A6A04" w:rsidP="008A6A04">
      <w:pPr>
        <w:numPr>
          <w:ilvl w:val="0"/>
          <w:numId w:val="43"/>
        </w:numPr>
        <w:tabs>
          <w:tab w:val="left" w:pos="0"/>
          <w:tab w:val="left" w:pos="794"/>
          <w:tab w:val="left" w:pos="1588"/>
          <w:tab w:val="left" w:pos="2381"/>
          <w:tab w:val="left" w:pos="3175"/>
          <w:tab w:val="left" w:pos="3969"/>
          <w:tab w:val="left" w:pos="4763"/>
          <w:tab w:val="left" w:pos="5557"/>
          <w:tab w:val="left" w:pos="6350"/>
          <w:tab w:val="left" w:pos="7144"/>
        </w:tabs>
        <w:spacing w:line="276" w:lineRule="auto"/>
        <w:jc w:val="both"/>
        <w:rPr>
          <w:rFonts w:eastAsia="Times New Roman" w:cstheme="minorHAnsi"/>
          <w:sz w:val="24"/>
          <w:szCs w:val="24"/>
          <w:lang w:eastAsia="nl-NL"/>
          <w14:ligatures w14:val="standardContextual"/>
        </w:rPr>
      </w:pPr>
      <w:r w:rsidRPr="008A6A04">
        <w:rPr>
          <w:rFonts w:eastAsia="Times New Roman" w:cstheme="minorHAnsi"/>
          <w:sz w:val="24"/>
          <w:szCs w:val="24"/>
          <w:lang w:eastAsia="nl-NL"/>
          <w14:ligatures w14:val="standardContextual"/>
        </w:rPr>
        <w:t>Numéro d’Identification Fiscal ;</w:t>
      </w:r>
    </w:p>
    <w:p w14:paraId="0C9A2180" w14:textId="77777777" w:rsidR="008A6A04" w:rsidRPr="008A6A04" w:rsidRDefault="008A6A04" w:rsidP="008A6A04">
      <w:pPr>
        <w:numPr>
          <w:ilvl w:val="0"/>
          <w:numId w:val="43"/>
        </w:numPr>
        <w:tabs>
          <w:tab w:val="left" w:pos="0"/>
          <w:tab w:val="left" w:pos="794"/>
          <w:tab w:val="left" w:pos="1588"/>
          <w:tab w:val="left" w:pos="2381"/>
          <w:tab w:val="left" w:pos="3175"/>
          <w:tab w:val="left" w:pos="3969"/>
          <w:tab w:val="left" w:pos="4763"/>
          <w:tab w:val="left" w:pos="5557"/>
          <w:tab w:val="left" w:pos="6350"/>
          <w:tab w:val="left" w:pos="7144"/>
        </w:tabs>
        <w:spacing w:line="276" w:lineRule="auto"/>
        <w:jc w:val="both"/>
        <w:rPr>
          <w:rFonts w:eastAsia="Times New Roman" w:cstheme="minorHAnsi"/>
          <w:sz w:val="24"/>
          <w:szCs w:val="24"/>
          <w:lang w:eastAsia="nl-NL"/>
          <w14:ligatures w14:val="standardContextual"/>
        </w:rPr>
      </w:pPr>
      <w:r w:rsidRPr="008A6A04">
        <w:rPr>
          <w:rFonts w:eastAsia="Times New Roman" w:cstheme="minorHAnsi"/>
          <w:sz w:val="24"/>
          <w:szCs w:val="24"/>
          <w:lang w:eastAsia="nl-NL"/>
          <w14:ligatures w14:val="standardContextual"/>
        </w:rPr>
        <w:t>Relevé d’identité bancaire (RIB) ;</w:t>
      </w:r>
    </w:p>
    <w:p w14:paraId="1003EBA4" w14:textId="77777777" w:rsidR="008A6A04" w:rsidRPr="008A6A04" w:rsidRDefault="008A6A04" w:rsidP="008A6A04">
      <w:pPr>
        <w:numPr>
          <w:ilvl w:val="0"/>
          <w:numId w:val="43"/>
        </w:numPr>
        <w:tabs>
          <w:tab w:val="left" w:pos="0"/>
          <w:tab w:val="left" w:pos="794"/>
          <w:tab w:val="left" w:pos="1588"/>
          <w:tab w:val="left" w:pos="2381"/>
          <w:tab w:val="left" w:pos="3175"/>
          <w:tab w:val="left" w:pos="3969"/>
          <w:tab w:val="left" w:pos="4763"/>
          <w:tab w:val="left" w:pos="5557"/>
          <w:tab w:val="left" w:pos="6350"/>
          <w:tab w:val="left" w:pos="7144"/>
        </w:tabs>
        <w:spacing w:line="276" w:lineRule="auto"/>
        <w:jc w:val="both"/>
        <w:rPr>
          <w:rFonts w:eastAsia="Times New Roman" w:cstheme="minorHAnsi"/>
          <w:sz w:val="24"/>
          <w:szCs w:val="24"/>
          <w:lang w:eastAsia="nl-NL"/>
          <w14:ligatures w14:val="standardContextual"/>
        </w:rPr>
      </w:pPr>
      <w:r w:rsidRPr="008A6A04">
        <w:rPr>
          <w:rFonts w:eastAsia="Times New Roman" w:cstheme="minorHAnsi"/>
          <w:sz w:val="24"/>
          <w:szCs w:val="24"/>
          <w:lang w:eastAsia="nl-NL"/>
          <w14:ligatures w14:val="standardContextual"/>
        </w:rPr>
        <w:t>Carte d’identité du 1</w:t>
      </w:r>
      <w:r w:rsidRPr="008A6A04">
        <w:rPr>
          <w:rFonts w:eastAsia="Times New Roman" w:cstheme="minorHAnsi"/>
          <w:sz w:val="24"/>
          <w:szCs w:val="24"/>
          <w:vertAlign w:val="superscript"/>
          <w:lang w:eastAsia="nl-NL"/>
          <w14:ligatures w14:val="standardContextual"/>
        </w:rPr>
        <w:t>ier</w:t>
      </w:r>
      <w:r w:rsidRPr="008A6A04">
        <w:rPr>
          <w:rFonts w:eastAsia="Times New Roman" w:cstheme="minorHAnsi"/>
          <w:sz w:val="24"/>
          <w:szCs w:val="24"/>
          <w:lang w:eastAsia="nl-NL"/>
          <w14:ligatures w14:val="standardContextual"/>
        </w:rPr>
        <w:t xml:space="preserve"> responsable ;</w:t>
      </w:r>
    </w:p>
    <w:p w14:paraId="22D8B520" w14:textId="58D7E3A7" w:rsidR="008A6A04" w:rsidRPr="0048059B" w:rsidRDefault="008A6A04" w:rsidP="00E319D6">
      <w:pPr>
        <w:numPr>
          <w:ilvl w:val="0"/>
          <w:numId w:val="43"/>
        </w:numPr>
        <w:tabs>
          <w:tab w:val="left" w:pos="0"/>
          <w:tab w:val="left" w:pos="794"/>
          <w:tab w:val="left" w:pos="1588"/>
          <w:tab w:val="left" w:pos="2381"/>
          <w:tab w:val="left" w:pos="3175"/>
          <w:tab w:val="left" w:pos="3969"/>
          <w:tab w:val="left" w:pos="4763"/>
          <w:tab w:val="left" w:pos="5557"/>
          <w:tab w:val="left" w:pos="6350"/>
          <w:tab w:val="left" w:pos="7144"/>
        </w:tabs>
        <w:spacing w:line="276" w:lineRule="auto"/>
        <w:jc w:val="both"/>
        <w:rPr>
          <w:rFonts w:eastAsia="Times New Roman" w:cstheme="minorHAnsi"/>
          <w:sz w:val="24"/>
          <w:szCs w:val="24"/>
          <w:lang w:eastAsia="nl-NL"/>
          <w14:ligatures w14:val="standardContextual"/>
        </w:rPr>
      </w:pPr>
      <w:r w:rsidRPr="008A6A04">
        <w:rPr>
          <w:rFonts w:eastAsia="Times New Roman" w:cstheme="minorHAnsi"/>
          <w:sz w:val="24"/>
          <w:szCs w:val="24"/>
          <w:lang w:eastAsia="nl-NL"/>
          <w14:ligatures w14:val="standardContextual"/>
        </w:rPr>
        <w:t>Copie du Registre de Commerce.</w:t>
      </w:r>
    </w:p>
    <w:p w14:paraId="55C095BC" w14:textId="78810D85" w:rsidR="00E319D6" w:rsidRPr="008A6A04" w:rsidRDefault="008A6A04" w:rsidP="00C42388">
      <w:pPr>
        <w:pStyle w:val="Heading1"/>
      </w:pPr>
      <w:r w:rsidRPr="008A6A04">
        <w:t xml:space="preserve"> Livrables</w:t>
      </w:r>
    </w:p>
    <w:p w14:paraId="583D20B1" w14:textId="39BF1E14" w:rsidR="00D627B5" w:rsidRPr="008A6A04" w:rsidRDefault="00E21FE9" w:rsidP="00D627B5">
      <w:pPr>
        <w:pStyle w:val="Listbullets"/>
        <w:numPr>
          <w:ilvl w:val="0"/>
          <w:numId w:val="0"/>
        </w:numPr>
        <w:ind w:left="397" w:hanging="397"/>
        <w:rPr>
          <w:rFonts w:cstheme="minorHAnsi"/>
          <w:sz w:val="24"/>
          <w:szCs w:val="24"/>
        </w:rPr>
      </w:pPr>
      <w:r w:rsidRPr="008A6A04">
        <w:rPr>
          <w:rFonts w:cstheme="minorHAnsi"/>
          <w:sz w:val="24"/>
          <w:szCs w:val="24"/>
        </w:rPr>
        <w:t>Se basant sur les résultats des composant</w:t>
      </w:r>
      <w:r w:rsidR="00E54CA2" w:rsidRPr="008A6A04">
        <w:rPr>
          <w:rFonts w:cstheme="minorHAnsi"/>
          <w:sz w:val="24"/>
          <w:szCs w:val="24"/>
        </w:rPr>
        <w:t>e</w:t>
      </w:r>
      <w:r w:rsidRPr="008A6A04">
        <w:rPr>
          <w:rFonts w:cstheme="minorHAnsi"/>
          <w:sz w:val="24"/>
          <w:szCs w:val="24"/>
        </w:rPr>
        <w:t xml:space="preserve">s EEC et OFVI de ABC, le consultant approfondira </w:t>
      </w:r>
      <w:r w:rsidR="00231A28" w:rsidRPr="008A6A04">
        <w:rPr>
          <w:rFonts w:cstheme="minorHAnsi"/>
          <w:sz w:val="24"/>
          <w:szCs w:val="24"/>
        </w:rPr>
        <w:t>ces acquis en observant la réalité du terrain et en échangeant avec des parties prenantes. Les livrables sont les suivants :</w:t>
      </w:r>
    </w:p>
    <w:p w14:paraId="3C1C0682" w14:textId="77777777" w:rsidR="00D627B5" w:rsidRPr="008A6A04" w:rsidRDefault="00D627B5" w:rsidP="00D627B5">
      <w:pPr>
        <w:pStyle w:val="Listbullets"/>
        <w:numPr>
          <w:ilvl w:val="0"/>
          <w:numId w:val="0"/>
        </w:numPr>
        <w:rPr>
          <w:rFonts w:cstheme="minorHAnsi"/>
          <w:sz w:val="24"/>
          <w:szCs w:val="24"/>
        </w:rPr>
      </w:pPr>
    </w:p>
    <w:p w14:paraId="6A8F578C" w14:textId="2599A0E0" w:rsidR="00E21FE9" w:rsidRPr="008A6A04" w:rsidRDefault="00E21FE9" w:rsidP="00E21FE9">
      <w:pPr>
        <w:pStyle w:val="Listbullets"/>
        <w:rPr>
          <w:rFonts w:cstheme="minorHAnsi"/>
          <w:sz w:val="24"/>
          <w:szCs w:val="24"/>
        </w:rPr>
      </w:pPr>
      <w:r w:rsidRPr="008A6A04">
        <w:rPr>
          <w:rFonts w:cstheme="minorHAnsi"/>
          <w:sz w:val="24"/>
          <w:szCs w:val="24"/>
        </w:rPr>
        <w:t>Modèles d’affaires optimisés</w:t>
      </w:r>
      <w:r w:rsidR="00231A28" w:rsidRPr="008A6A04">
        <w:rPr>
          <w:rFonts w:cstheme="minorHAnsi"/>
          <w:sz w:val="24"/>
          <w:szCs w:val="24"/>
        </w:rPr>
        <w:t xml:space="preserve"> et documentés (8–10 pages) pour 5 entreprises</w:t>
      </w:r>
    </w:p>
    <w:p w14:paraId="7F40BF7D" w14:textId="75EA6949" w:rsidR="00231A28" w:rsidRPr="008A6A04" w:rsidRDefault="00E21FE9" w:rsidP="00231A28">
      <w:pPr>
        <w:pStyle w:val="Listbullets"/>
        <w:rPr>
          <w:rFonts w:cstheme="minorHAnsi"/>
          <w:sz w:val="24"/>
          <w:szCs w:val="24"/>
        </w:rPr>
      </w:pPr>
      <w:r w:rsidRPr="008A6A04">
        <w:rPr>
          <w:rFonts w:cstheme="minorHAnsi"/>
          <w:sz w:val="24"/>
          <w:szCs w:val="24"/>
        </w:rPr>
        <w:t>Dossiers “bancables”</w:t>
      </w:r>
      <w:r w:rsidR="001D7237" w:rsidRPr="008A6A04">
        <w:rPr>
          <w:rFonts w:cstheme="minorHAnsi"/>
          <w:sz w:val="24"/>
          <w:szCs w:val="24"/>
        </w:rPr>
        <w:t xml:space="preserve"> au standard</w:t>
      </w:r>
      <w:r w:rsidR="007B63AD" w:rsidRPr="008A6A04">
        <w:rPr>
          <w:rFonts w:cstheme="minorHAnsi"/>
          <w:sz w:val="24"/>
          <w:szCs w:val="24"/>
        </w:rPr>
        <w:t xml:space="preserve"> IF/IMF</w:t>
      </w:r>
      <w:r w:rsidR="004B204B" w:rsidRPr="008A6A04">
        <w:rPr>
          <w:rFonts w:cstheme="minorHAnsi"/>
          <w:sz w:val="24"/>
          <w:szCs w:val="24"/>
        </w:rPr>
        <w:t xml:space="preserve"> et Fonds</w:t>
      </w:r>
    </w:p>
    <w:p w14:paraId="5C05988D" w14:textId="455BC64F" w:rsidR="00231A28" w:rsidRPr="008A6A04" w:rsidRDefault="00E21FE9" w:rsidP="00231A28">
      <w:pPr>
        <w:pStyle w:val="Listbullets"/>
        <w:rPr>
          <w:rFonts w:cstheme="minorHAnsi"/>
          <w:sz w:val="24"/>
          <w:szCs w:val="24"/>
          <w:lang w:val="en-US"/>
        </w:rPr>
      </w:pPr>
      <w:r w:rsidRPr="008A6A04">
        <w:rPr>
          <w:rFonts w:cstheme="minorHAnsi"/>
          <w:sz w:val="24"/>
          <w:szCs w:val="24"/>
          <w:lang w:val="en-US"/>
        </w:rPr>
        <w:t xml:space="preserve">Pitch deck (≤15 slides) </w:t>
      </w:r>
      <w:r w:rsidR="00D80C40" w:rsidRPr="008A6A04">
        <w:rPr>
          <w:rFonts w:cstheme="minorHAnsi"/>
          <w:sz w:val="24"/>
          <w:szCs w:val="24"/>
          <w:lang w:val="en-US"/>
        </w:rPr>
        <w:t>business model</w:t>
      </w:r>
      <w:r w:rsidR="00B70F1C" w:rsidRPr="008A6A04">
        <w:rPr>
          <w:rFonts w:cstheme="minorHAnsi"/>
          <w:sz w:val="24"/>
          <w:szCs w:val="24"/>
          <w:lang w:val="en-US"/>
        </w:rPr>
        <w:t xml:space="preserve"> </w:t>
      </w:r>
      <w:r w:rsidRPr="008A6A04">
        <w:rPr>
          <w:rFonts w:cstheme="minorHAnsi"/>
          <w:sz w:val="24"/>
          <w:szCs w:val="24"/>
          <w:lang w:val="en-US"/>
        </w:rPr>
        <w:t xml:space="preserve">par </w:t>
      </w:r>
      <w:proofErr w:type="spellStart"/>
      <w:r w:rsidR="00C90038" w:rsidRPr="008A6A04">
        <w:rPr>
          <w:rFonts w:cstheme="minorHAnsi"/>
          <w:sz w:val="24"/>
          <w:szCs w:val="24"/>
          <w:lang w:val="en-US"/>
        </w:rPr>
        <w:t>entr</w:t>
      </w:r>
      <w:r w:rsidR="00C90038">
        <w:rPr>
          <w:rFonts w:cstheme="minorHAnsi"/>
          <w:sz w:val="24"/>
          <w:szCs w:val="24"/>
          <w:lang w:val="en-US"/>
        </w:rPr>
        <w:t>e</w:t>
      </w:r>
      <w:r w:rsidR="00C90038" w:rsidRPr="008A6A04">
        <w:rPr>
          <w:rFonts w:cstheme="minorHAnsi"/>
          <w:sz w:val="24"/>
          <w:szCs w:val="24"/>
          <w:lang w:val="en-US"/>
        </w:rPr>
        <w:t>prise</w:t>
      </w:r>
      <w:proofErr w:type="spellEnd"/>
      <w:r w:rsidRPr="008A6A04">
        <w:rPr>
          <w:rFonts w:cstheme="minorHAnsi"/>
          <w:sz w:val="24"/>
          <w:szCs w:val="24"/>
          <w:lang w:val="en-US"/>
        </w:rPr>
        <w:t>.</w:t>
      </w:r>
    </w:p>
    <w:p w14:paraId="37135999" w14:textId="3DEC9B0C" w:rsidR="00E21FE9" w:rsidRPr="008A6A04" w:rsidRDefault="00231A28" w:rsidP="008A6A04">
      <w:pPr>
        <w:pStyle w:val="Listbullets"/>
        <w:rPr>
          <w:rFonts w:cstheme="minorHAnsi"/>
          <w:sz w:val="24"/>
          <w:szCs w:val="24"/>
        </w:rPr>
      </w:pPr>
      <w:r w:rsidRPr="008A6A04">
        <w:rPr>
          <w:rFonts w:cstheme="minorHAnsi"/>
          <w:sz w:val="24"/>
          <w:szCs w:val="24"/>
        </w:rPr>
        <w:t>Identification des “angles morts” dans le business case utilisateur, recommandations pour optimiser le business case</w:t>
      </w:r>
    </w:p>
    <w:p w14:paraId="629FFDCF" w14:textId="674BF3BB" w:rsidR="00E319D6" w:rsidRPr="008A6A04" w:rsidRDefault="00CA5A02" w:rsidP="00C42388">
      <w:pPr>
        <w:pStyle w:val="Heading1"/>
      </w:pPr>
      <w:r w:rsidRPr="008A6A04">
        <w:t>C</w:t>
      </w:r>
      <w:r w:rsidR="00D627B5" w:rsidRPr="008A6A04">
        <w:t>rit</w:t>
      </w:r>
      <w:r w:rsidRPr="008A6A04">
        <w:t>è</w:t>
      </w:r>
      <w:r w:rsidR="00D627B5" w:rsidRPr="008A6A04">
        <w:t>r</w:t>
      </w:r>
      <w:r w:rsidRPr="008A6A04">
        <w:t>es d’évaluation</w:t>
      </w:r>
    </w:p>
    <w:p w14:paraId="500E5BD1" w14:textId="77777777" w:rsidR="00D627B5" w:rsidRPr="008A6A04" w:rsidRDefault="00D627B5" w:rsidP="00D627B5">
      <w:pPr>
        <w:rPr>
          <w:rFonts w:cstheme="minorHAnsi"/>
          <w:sz w:val="24"/>
          <w:szCs w:val="24"/>
        </w:rPr>
      </w:pPr>
    </w:p>
    <w:tbl>
      <w:tblPr>
        <w:tblW w:w="5000" w:type="pct"/>
        <w:tblBorders>
          <w:top w:val="single" w:sz="8" w:space="0" w:color="375380" w:themeColor="text2"/>
          <w:left w:val="single" w:sz="8" w:space="0" w:color="375380" w:themeColor="text2"/>
          <w:bottom w:val="single" w:sz="8" w:space="0" w:color="375380" w:themeColor="text2"/>
          <w:right w:val="single" w:sz="8" w:space="0" w:color="375380" w:themeColor="text2"/>
          <w:insideH w:val="single" w:sz="8" w:space="0" w:color="375380" w:themeColor="text2"/>
          <w:insideV w:val="single" w:sz="8" w:space="0" w:color="375380" w:themeColor="text2"/>
        </w:tblBorders>
        <w:tblCellMar>
          <w:left w:w="0" w:type="dxa"/>
          <w:right w:w="0" w:type="dxa"/>
        </w:tblCellMar>
        <w:tblLook w:val="04A0" w:firstRow="1" w:lastRow="0" w:firstColumn="1" w:lastColumn="0" w:noHBand="0" w:noVBand="1"/>
      </w:tblPr>
      <w:tblGrid>
        <w:gridCol w:w="6447"/>
        <w:gridCol w:w="2382"/>
      </w:tblGrid>
      <w:tr w:rsidR="002623EB" w:rsidRPr="008A6A04" w14:paraId="754B74FD" w14:textId="77777777" w:rsidTr="002623EB">
        <w:tc>
          <w:tcPr>
            <w:tcW w:w="3651" w:type="pct"/>
            <w:shd w:val="clear" w:color="auto" w:fill="375380" w:themeFill="text2"/>
            <w:tcMar>
              <w:top w:w="0" w:type="dxa"/>
              <w:left w:w="108" w:type="dxa"/>
              <w:bottom w:w="0" w:type="dxa"/>
              <w:right w:w="108" w:type="dxa"/>
            </w:tcMar>
            <w:vAlign w:val="center"/>
          </w:tcPr>
          <w:p w14:paraId="51E54DCC" w14:textId="77777777" w:rsidR="002623EB" w:rsidRPr="008A6A04" w:rsidRDefault="002623EB" w:rsidP="002623EB">
            <w:pPr>
              <w:rPr>
                <w:rFonts w:cstheme="minorHAnsi"/>
                <w:b/>
                <w:bCs/>
                <w:color w:val="FFFFFF" w:themeColor="background1"/>
                <w:sz w:val="24"/>
                <w:szCs w:val="24"/>
              </w:rPr>
            </w:pPr>
            <w:proofErr w:type="spellStart"/>
            <w:r w:rsidRPr="008A6A04">
              <w:rPr>
                <w:rFonts w:cstheme="minorHAnsi"/>
                <w:b/>
                <w:bCs/>
                <w:color w:val="FFFFFF" w:themeColor="background1"/>
                <w:sz w:val="24"/>
                <w:szCs w:val="24"/>
              </w:rPr>
              <w:t>Criteria</w:t>
            </w:r>
            <w:proofErr w:type="spellEnd"/>
          </w:p>
        </w:tc>
        <w:tc>
          <w:tcPr>
            <w:tcW w:w="1349" w:type="pct"/>
            <w:shd w:val="clear" w:color="auto" w:fill="375380" w:themeFill="text2"/>
            <w:tcMar>
              <w:top w:w="0" w:type="dxa"/>
              <w:left w:w="108" w:type="dxa"/>
              <w:bottom w:w="0" w:type="dxa"/>
              <w:right w:w="108" w:type="dxa"/>
            </w:tcMar>
            <w:vAlign w:val="center"/>
          </w:tcPr>
          <w:p w14:paraId="64E66206" w14:textId="77777777" w:rsidR="002623EB" w:rsidRPr="008A6A04" w:rsidRDefault="002623EB" w:rsidP="002623EB">
            <w:pPr>
              <w:ind w:left="493"/>
              <w:jc w:val="both"/>
              <w:rPr>
                <w:rFonts w:cstheme="minorHAnsi"/>
                <w:b/>
                <w:bCs/>
                <w:color w:val="FFFFFF" w:themeColor="background1"/>
                <w:sz w:val="24"/>
                <w:szCs w:val="24"/>
              </w:rPr>
            </w:pPr>
            <w:r w:rsidRPr="008A6A04">
              <w:rPr>
                <w:rFonts w:cstheme="minorHAnsi"/>
                <w:b/>
                <w:bCs/>
                <w:color w:val="FFFFFF" w:themeColor="background1"/>
                <w:sz w:val="24"/>
                <w:szCs w:val="24"/>
              </w:rPr>
              <w:t>Maximum score</w:t>
            </w:r>
          </w:p>
        </w:tc>
      </w:tr>
      <w:tr w:rsidR="002623EB" w:rsidRPr="008A6A04" w14:paraId="106F6E83" w14:textId="77777777" w:rsidTr="002623EB">
        <w:tc>
          <w:tcPr>
            <w:tcW w:w="3651" w:type="pct"/>
            <w:tcMar>
              <w:top w:w="0" w:type="dxa"/>
              <w:left w:w="108" w:type="dxa"/>
              <w:bottom w:w="0" w:type="dxa"/>
              <w:right w:w="108" w:type="dxa"/>
            </w:tcMar>
            <w:vAlign w:val="center"/>
          </w:tcPr>
          <w:p w14:paraId="6AD414EE" w14:textId="13967551" w:rsidR="002623EB" w:rsidRPr="008A6A04" w:rsidRDefault="009B0DB1" w:rsidP="002623EB">
            <w:pPr>
              <w:rPr>
                <w:rFonts w:cstheme="minorHAnsi"/>
                <w:sz w:val="24"/>
                <w:szCs w:val="24"/>
              </w:rPr>
            </w:pPr>
            <w:r w:rsidRPr="008A6A04">
              <w:rPr>
                <w:rFonts w:cstheme="minorHAnsi"/>
                <w:sz w:val="24"/>
                <w:szCs w:val="24"/>
              </w:rPr>
              <w:t>Compréhension de la mission et pertinence de la méthodologie</w:t>
            </w:r>
          </w:p>
        </w:tc>
        <w:tc>
          <w:tcPr>
            <w:tcW w:w="1349" w:type="pct"/>
            <w:tcMar>
              <w:top w:w="0" w:type="dxa"/>
              <w:left w:w="108" w:type="dxa"/>
              <w:bottom w:w="0" w:type="dxa"/>
              <w:right w:w="108" w:type="dxa"/>
            </w:tcMar>
            <w:vAlign w:val="center"/>
            <w:hideMark/>
          </w:tcPr>
          <w:p w14:paraId="6533D496" w14:textId="2E1F26A5" w:rsidR="002623EB" w:rsidRPr="008A6A04" w:rsidRDefault="009B0DB1" w:rsidP="002623EB">
            <w:pPr>
              <w:jc w:val="center"/>
              <w:rPr>
                <w:rFonts w:cstheme="minorHAnsi"/>
                <w:sz w:val="24"/>
                <w:szCs w:val="24"/>
              </w:rPr>
            </w:pPr>
            <w:r w:rsidRPr="008A6A04">
              <w:rPr>
                <w:rFonts w:cstheme="minorHAnsi"/>
                <w:sz w:val="24"/>
                <w:szCs w:val="24"/>
              </w:rPr>
              <w:t>4</w:t>
            </w:r>
            <w:r w:rsidR="002623EB" w:rsidRPr="008A6A04">
              <w:rPr>
                <w:rFonts w:cstheme="minorHAnsi"/>
                <w:sz w:val="24"/>
                <w:szCs w:val="24"/>
              </w:rPr>
              <w:t>0</w:t>
            </w:r>
          </w:p>
        </w:tc>
      </w:tr>
      <w:tr w:rsidR="002623EB" w:rsidRPr="008A6A04" w14:paraId="3FA81948" w14:textId="77777777" w:rsidTr="002623EB">
        <w:tc>
          <w:tcPr>
            <w:tcW w:w="3651" w:type="pct"/>
            <w:tcMar>
              <w:top w:w="0" w:type="dxa"/>
              <w:left w:w="108" w:type="dxa"/>
              <w:bottom w:w="0" w:type="dxa"/>
              <w:right w:w="108" w:type="dxa"/>
            </w:tcMar>
            <w:vAlign w:val="center"/>
          </w:tcPr>
          <w:p w14:paraId="1DEF6046" w14:textId="2CC2A1B5" w:rsidR="002623EB" w:rsidRPr="008A6A04" w:rsidRDefault="009B0DB1" w:rsidP="002623EB">
            <w:pPr>
              <w:rPr>
                <w:rFonts w:cstheme="minorHAnsi"/>
                <w:sz w:val="24"/>
                <w:szCs w:val="24"/>
                <w:u w:val="single"/>
              </w:rPr>
            </w:pPr>
            <w:r w:rsidRPr="008A6A04">
              <w:rPr>
                <w:rFonts w:cstheme="minorHAnsi"/>
                <w:sz w:val="24"/>
                <w:szCs w:val="24"/>
                <w:u w:val="single"/>
              </w:rPr>
              <w:t>Expériences similaires</w:t>
            </w:r>
          </w:p>
        </w:tc>
        <w:tc>
          <w:tcPr>
            <w:tcW w:w="1349" w:type="pct"/>
            <w:tcMar>
              <w:top w:w="0" w:type="dxa"/>
              <w:left w:w="108" w:type="dxa"/>
              <w:bottom w:w="0" w:type="dxa"/>
              <w:right w:w="108" w:type="dxa"/>
            </w:tcMar>
            <w:vAlign w:val="center"/>
          </w:tcPr>
          <w:p w14:paraId="034D1841" w14:textId="172C751D" w:rsidR="002623EB" w:rsidRPr="008A6A04" w:rsidRDefault="009B0DB1" w:rsidP="002623EB">
            <w:pPr>
              <w:jc w:val="center"/>
              <w:rPr>
                <w:rFonts w:cstheme="minorHAnsi"/>
                <w:sz w:val="24"/>
                <w:szCs w:val="24"/>
              </w:rPr>
            </w:pPr>
            <w:r w:rsidRPr="008A6A04">
              <w:rPr>
                <w:rFonts w:cstheme="minorHAnsi"/>
                <w:sz w:val="24"/>
                <w:szCs w:val="24"/>
              </w:rPr>
              <w:t>4</w:t>
            </w:r>
            <w:r w:rsidR="002623EB" w:rsidRPr="008A6A04">
              <w:rPr>
                <w:rFonts w:cstheme="minorHAnsi"/>
                <w:sz w:val="24"/>
                <w:szCs w:val="24"/>
              </w:rPr>
              <w:t>0</w:t>
            </w:r>
          </w:p>
        </w:tc>
      </w:tr>
      <w:tr w:rsidR="002623EB" w:rsidRPr="008A6A04" w14:paraId="325CA12F" w14:textId="77777777" w:rsidTr="002623EB">
        <w:tc>
          <w:tcPr>
            <w:tcW w:w="3651" w:type="pct"/>
            <w:tcMar>
              <w:top w:w="0" w:type="dxa"/>
              <w:left w:w="108" w:type="dxa"/>
              <w:bottom w:w="0" w:type="dxa"/>
              <w:right w:w="108" w:type="dxa"/>
            </w:tcMar>
            <w:vAlign w:val="center"/>
          </w:tcPr>
          <w:p w14:paraId="5F65950D" w14:textId="6F3ACFD0" w:rsidR="002623EB" w:rsidRPr="008A6A04" w:rsidRDefault="009B0DB1" w:rsidP="002623EB">
            <w:pPr>
              <w:rPr>
                <w:rFonts w:cstheme="minorHAnsi"/>
                <w:sz w:val="24"/>
                <w:szCs w:val="24"/>
              </w:rPr>
            </w:pPr>
            <w:r w:rsidRPr="008A6A04">
              <w:rPr>
                <w:rFonts w:cstheme="minorHAnsi"/>
                <w:sz w:val="24"/>
                <w:szCs w:val="24"/>
              </w:rPr>
              <w:t>Offre financière</w:t>
            </w:r>
          </w:p>
        </w:tc>
        <w:tc>
          <w:tcPr>
            <w:tcW w:w="1349" w:type="pct"/>
            <w:tcMar>
              <w:top w:w="0" w:type="dxa"/>
              <w:left w:w="108" w:type="dxa"/>
              <w:bottom w:w="0" w:type="dxa"/>
              <w:right w:w="108" w:type="dxa"/>
            </w:tcMar>
            <w:vAlign w:val="center"/>
            <w:hideMark/>
          </w:tcPr>
          <w:p w14:paraId="5713EC49" w14:textId="2B274F06" w:rsidR="002623EB" w:rsidRPr="008A6A04" w:rsidRDefault="009B0DB1" w:rsidP="002623EB">
            <w:pPr>
              <w:jc w:val="center"/>
              <w:rPr>
                <w:rFonts w:cstheme="minorHAnsi"/>
                <w:sz w:val="24"/>
                <w:szCs w:val="24"/>
              </w:rPr>
            </w:pPr>
            <w:r w:rsidRPr="008A6A04">
              <w:rPr>
                <w:rFonts w:cstheme="minorHAnsi"/>
                <w:sz w:val="24"/>
                <w:szCs w:val="24"/>
              </w:rPr>
              <w:t>2</w:t>
            </w:r>
            <w:r w:rsidR="002623EB" w:rsidRPr="008A6A04">
              <w:rPr>
                <w:rFonts w:cstheme="minorHAnsi"/>
                <w:sz w:val="24"/>
                <w:szCs w:val="24"/>
              </w:rPr>
              <w:t>0</w:t>
            </w:r>
          </w:p>
        </w:tc>
      </w:tr>
    </w:tbl>
    <w:p w14:paraId="26A05ACC" w14:textId="77777777" w:rsidR="002623EB" w:rsidRPr="008A6A04" w:rsidRDefault="002623EB" w:rsidP="00D627B5">
      <w:pPr>
        <w:rPr>
          <w:rFonts w:cstheme="minorHAnsi"/>
          <w:sz w:val="24"/>
          <w:szCs w:val="24"/>
        </w:rPr>
      </w:pPr>
    </w:p>
    <w:p w14:paraId="66D51B37" w14:textId="510ADE80" w:rsidR="00CA5A02" w:rsidRPr="008A6A04" w:rsidRDefault="00CA5A02" w:rsidP="00C42388">
      <w:pPr>
        <w:pStyle w:val="Heading1"/>
      </w:pPr>
      <w:r w:rsidRPr="008A6A04">
        <w:t>Période</w:t>
      </w:r>
    </w:p>
    <w:p w14:paraId="565A320E" w14:textId="1AA4C8E8" w:rsidR="002623EB" w:rsidRPr="008A6A04" w:rsidRDefault="009B0DB1" w:rsidP="00CA5A02">
      <w:pPr>
        <w:pStyle w:val="Heading1"/>
        <w:numPr>
          <w:ilvl w:val="0"/>
          <w:numId w:val="0"/>
        </w:numPr>
        <w:rPr>
          <w:rFonts w:asciiTheme="minorHAnsi" w:eastAsiaTheme="minorHAnsi" w:hAnsiTheme="minorHAnsi" w:cstheme="minorHAnsi"/>
          <w:b w:val="0"/>
          <w:sz w:val="24"/>
          <w:szCs w:val="24"/>
        </w:rPr>
      </w:pPr>
      <w:r w:rsidRPr="008A6A04">
        <w:rPr>
          <w:rFonts w:asciiTheme="minorHAnsi" w:eastAsiaTheme="minorHAnsi" w:hAnsiTheme="minorHAnsi" w:cstheme="minorHAnsi"/>
          <w:b w:val="0"/>
          <w:sz w:val="24"/>
          <w:szCs w:val="24"/>
        </w:rPr>
        <w:t xml:space="preserve">La période est de </w:t>
      </w:r>
      <w:r w:rsidR="008A6A04" w:rsidRPr="008A6A04">
        <w:rPr>
          <w:rFonts w:asciiTheme="minorHAnsi" w:eastAsiaTheme="minorHAnsi" w:hAnsiTheme="minorHAnsi" w:cstheme="minorHAnsi"/>
          <w:b w:val="0"/>
          <w:sz w:val="24"/>
          <w:szCs w:val="24"/>
        </w:rPr>
        <w:t>février</w:t>
      </w:r>
      <w:r w:rsidRPr="008A6A04">
        <w:rPr>
          <w:rFonts w:asciiTheme="minorHAnsi" w:eastAsiaTheme="minorHAnsi" w:hAnsiTheme="minorHAnsi" w:cstheme="minorHAnsi"/>
          <w:b w:val="0"/>
          <w:sz w:val="24"/>
          <w:szCs w:val="24"/>
        </w:rPr>
        <w:t xml:space="preserve"> à </w:t>
      </w:r>
      <w:proofErr w:type="gramStart"/>
      <w:r w:rsidR="0048059B">
        <w:rPr>
          <w:rFonts w:asciiTheme="minorHAnsi" w:eastAsiaTheme="minorHAnsi" w:hAnsiTheme="minorHAnsi" w:cstheme="minorHAnsi"/>
          <w:b w:val="0"/>
          <w:sz w:val="24"/>
          <w:szCs w:val="24"/>
        </w:rPr>
        <w:t>M</w:t>
      </w:r>
      <w:r w:rsidR="0048059B" w:rsidRPr="008A6A04">
        <w:rPr>
          <w:rFonts w:asciiTheme="minorHAnsi" w:eastAsiaTheme="minorHAnsi" w:hAnsiTheme="minorHAnsi" w:cstheme="minorHAnsi"/>
          <w:b w:val="0"/>
          <w:sz w:val="24"/>
          <w:szCs w:val="24"/>
        </w:rPr>
        <w:t>ai</w:t>
      </w:r>
      <w:proofErr w:type="gramEnd"/>
      <w:r w:rsidR="006F5959" w:rsidRPr="008A6A04">
        <w:rPr>
          <w:rFonts w:asciiTheme="minorHAnsi" w:eastAsiaTheme="minorHAnsi" w:hAnsiTheme="minorHAnsi" w:cstheme="minorHAnsi"/>
          <w:b w:val="0"/>
          <w:sz w:val="24"/>
          <w:szCs w:val="24"/>
        </w:rPr>
        <w:t xml:space="preserve"> </w:t>
      </w:r>
      <w:r w:rsidRPr="008A6A04">
        <w:rPr>
          <w:rFonts w:asciiTheme="minorHAnsi" w:eastAsiaTheme="minorHAnsi" w:hAnsiTheme="minorHAnsi" w:cstheme="minorHAnsi"/>
          <w:b w:val="0"/>
          <w:sz w:val="24"/>
          <w:szCs w:val="24"/>
        </w:rPr>
        <w:t xml:space="preserve">2026. </w:t>
      </w:r>
    </w:p>
    <w:p w14:paraId="5D3F386C" w14:textId="015586CF" w:rsidR="002623EB" w:rsidRPr="008A6A04" w:rsidRDefault="00CA5A02" w:rsidP="00C42388">
      <w:pPr>
        <w:pStyle w:val="Heading1"/>
      </w:pPr>
      <w:r w:rsidRPr="008A6A04">
        <w:t>Termes de paiement</w:t>
      </w:r>
    </w:p>
    <w:p w14:paraId="3A2E945D" w14:textId="70719B94" w:rsidR="009B0DB1" w:rsidRPr="008A6A04" w:rsidRDefault="009B0DB1" w:rsidP="002623EB">
      <w:pPr>
        <w:rPr>
          <w:rFonts w:cstheme="minorHAnsi"/>
          <w:sz w:val="24"/>
          <w:szCs w:val="24"/>
        </w:rPr>
      </w:pPr>
      <w:r w:rsidRPr="008A6A04">
        <w:rPr>
          <w:rFonts w:cstheme="minorHAnsi"/>
          <w:sz w:val="24"/>
          <w:szCs w:val="24"/>
        </w:rPr>
        <w:t xml:space="preserve">Le/la </w:t>
      </w:r>
      <w:proofErr w:type="spellStart"/>
      <w:proofErr w:type="gramStart"/>
      <w:r w:rsidRPr="008A6A04">
        <w:rPr>
          <w:rFonts w:cstheme="minorHAnsi"/>
          <w:sz w:val="24"/>
          <w:szCs w:val="24"/>
        </w:rPr>
        <w:t>consultant.e</w:t>
      </w:r>
      <w:proofErr w:type="spellEnd"/>
      <w:proofErr w:type="gramEnd"/>
      <w:r w:rsidRPr="008A6A04">
        <w:rPr>
          <w:rFonts w:cstheme="minorHAnsi"/>
          <w:sz w:val="24"/>
          <w:szCs w:val="24"/>
        </w:rPr>
        <w:t xml:space="preserve"> sera payé par mois à la présentation d’une facture et un </w:t>
      </w:r>
      <w:proofErr w:type="spellStart"/>
      <w:r w:rsidRPr="008A6A04">
        <w:rPr>
          <w:rFonts w:cstheme="minorHAnsi"/>
          <w:sz w:val="24"/>
          <w:szCs w:val="24"/>
        </w:rPr>
        <w:t>timesheet</w:t>
      </w:r>
      <w:proofErr w:type="spellEnd"/>
      <w:r w:rsidRPr="008A6A04">
        <w:rPr>
          <w:rFonts w:cstheme="minorHAnsi"/>
          <w:sz w:val="24"/>
          <w:szCs w:val="24"/>
        </w:rPr>
        <w:t xml:space="preserve"> validé par le PM. Les sorties terrain se font sur ordre de mission émis par SNV. Il/elle aura droit aux frais de mission selon les procédures SNV. </w:t>
      </w:r>
    </w:p>
    <w:p w14:paraId="64E4086D" w14:textId="65D9C9B5" w:rsidR="002623EB" w:rsidRPr="008A6A04" w:rsidRDefault="00CA5A02" w:rsidP="00C42388">
      <w:pPr>
        <w:pStyle w:val="Heading1"/>
      </w:pPr>
      <w:r w:rsidRPr="008A6A04">
        <w:t>Conformité</w:t>
      </w:r>
    </w:p>
    <w:p w14:paraId="56A62730" w14:textId="6981831A" w:rsidR="002623EB" w:rsidRDefault="008779D2" w:rsidP="002623EB">
      <w:pPr>
        <w:rPr>
          <w:rFonts w:cstheme="minorHAnsi"/>
          <w:sz w:val="24"/>
          <w:szCs w:val="24"/>
        </w:rPr>
      </w:pPr>
      <w:r w:rsidRPr="008A6A04">
        <w:rPr>
          <w:rFonts w:cstheme="minorHAnsi"/>
          <w:sz w:val="24"/>
          <w:szCs w:val="24"/>
        </w:rPr>
        <w:t>SNV adhère aux normes minimales pour l'intégration de la dimension de genre. Ces normes, au nombre de huit (08), résument les bases de l'intégration de l'égalité des sexes (et dans une certaine mesure de l'inclusion sociale) dans notre travail au niveau de la conception du projet, de l'organisation et de la mise en œuvre du projet. Il est attendu que le travail des consultant.es recruté.es pour cette mission soit conforme à ces normes.</w:t>
      </w:r>
    </w:p>
    <w:p w14:paraId="08E7FE87" w14:textId="77777777" w:rsidR="00C42388" w:rsidRPr="008A6A04" w:rsidRDefault="00C42388" w:rsidP="002623EB">
      <w:pPr>
        <w:rPr>
          <w:rFonts w:cstheme="minorHAnsi"/>
          <w:sz w:val="24"/>
          <w:szCs w:val="24"/>
        </w:rPr>
      </w:pPr>
    </w:p>
    <w:p w14:paraId="64C11624" w14:textId="20767FB9" w:rsidR="005352F4" w:rsidRPr="005352F4" w:rsidRDefault="005352F4" w:rsidP="00C42388">
      <w:pPr>
        <w:pStyle w:val="Heading1"/>
      </w:pPr>
      <w:r>
        <w:t xml:space="preserve"> </w:t>
      </w:r>
      <w:r w:rsidRPr="005352F4">
        <w:t xml:space="preserve">Droits d’auteur et propriété intellectuelle </w:t>
      </w:r>
    </w:p>
    <w:p w14:paraId="5E7B569E" w14:textId="77777777" w:rsidR="005352F4" w:rsidRPr="00E064A0" w:rsidRDefault="005352F4" w:rsidP="005352F4">
      <w:pPr>
        <w:spacing w:before="3" w:line="276" w:lineRule="auto"/>
        <w:jc w:val="both"/>
        <w:rPr>
          <w:rFonts w:cstheme="minorHAnsi"/>
        </w:rPr>
      </w:pPr>
      <w:r w:rsidRPr="00E064A0">
        <w:rPr>
          <w:rFonts w:cstheme="minorHAnsi"/>
        </w:rPr>
        <w:t>Tous les produits, livrables, documents, matériels, contenus audiovisuels, supports numériques, bases de données, outils ou tout autre résultat issus de la mission, produits dans le cadre de ce contrat, seront la propriété exclusive de SNV, sauf disposition contraire explicitement convenue par écrit.</w:t>
      </w:r>
    </w:p>
    <w:p w14:paraId="3CB6C8AF" w14:textId="3C78A769" w:rsidR="005352F4" w:rsidRPr="00E064A0" w:rsidRDefault="005352F4" w:rsidP="005352F4">
      <w:pPr>
        <w:spacing w:before="3" w:line="276" w:lineRule="auto"/>
        <w:jc w:val="both"/>
        <w:rPr>
          <w:rFonts w:cstheme="minorHAnsi"/>
        </w:rPr>
      </w:pPr>
      <w:r w:rsidRPr="00E064A0">
        <w:rPr>
          <w:rFonts w:cstheme="minorHAnsi"/>
        </w:rPr>
        <w:lastRenderedPageBreak/>
        <w:t>L</w:t>
      </w:r>
      <w:r w:rsidR="00615147">
        <w:rPr>
          <w:rFonts w:cstheme="minorHAnsi"/>
        </w:rPr>
        <w:t xml:space="preserve">e consultant </w:t>
      </w:r>
      <w:r w:rsidRPr="00E064A0">
        <w:rPr>
          <w:rFonts w:cstheme="minorHAnsi"/>
        </w:rPr>
        <w:t>s'engage à respecter les principes suivants :</w:t>
      </w:r>
    </w:p>
    <w:p w14:paraId="4B3DC0E2" w14:textId="77777777" w:rsidR="005352F4" w:rsidRPr="00E064A0" w:rsidRDefault="005352F4" w:rsidP="005352F4">
      <w:pPr>
        <w:numPr>
          <w:ilvl w:val="0"/>
          <w:numId w:val="45"/>
        </w:numPr>
        <w:spacing w:before="3" w:line="276" w:lineRule="auto"/>
        <w:jc w:val="both"/>
        <w:rPr>
          <w:rFonts w:cstheme="minorHAnsi"/>
          <w:b/>
          <w:bCs/>
        </w:rPr>
      </w:pPr>
      <w:r w:rsidRPr="00E064A0">
        <w:rPr>
          <w:rFonts w:cstheme="minorHAnsi"/>
          <w:b/>
          <w:bCs/>
        </w:rPr>
        <w:t>Transfert des droits</w:t>
      </w:r>
    </w:p>
    <w:p w14:paraId="1B1D79BE" w14:textId="77777777" w:rsidR="005352F4" w:rsidRPr="00E064A0" w:rsidRDefault="005352F4" w:rsidP="005352F4">
      <w:pPr>
        <w:spacing w:before="3" w:line="276" w:lineRule="auto"/>
        <w:ind w:left="720"/>
        <w:jc w:val="both"/>
        <w:rPr>
          <w:rFonts w:cstheme="minorHAnsi"/>
        </w:rPr>
      </w:pPr>
      <w:r w:rsidRPr="00E064A0">
        <w:rPr>
          <w:rFonts w:cstheme="minorHAnsi"/>
        </w:rPr>
        <w:t>Les droits patrimoniaux d’auteur afférents aux livrables sont intégralement cédés à SNV dès leur production et leur paiement effectif. Cela inclut, sans limitation :</w:t>
      </w:r>
    </w:p>
    <w:p w14:paraId="54D4271E" w14:textId="77777777" w:rsidR="005352F4" w:rsidRPr="00E064A0" w:rsidRDefault="005352F4" w:rsidP="005352F4">
      <w:pPr>
        <w:numPr>
          <w:ilvl w:val="0"/>
          <w:numId w:val="45"/>
        </w:numPr>
        <w:spacing w:before="3" w:line="276" w:lineRule="auto"/>
        <w:jc w:val="both"/>
        <w:rPr>
          <w:rFonts w:cstheme="minorHAnsi"/>
          <w:b/>
          <w:bCs/>
        </w:rPr>
      </w:pPr>
      <w:r w:rsidRPr="00E064A0">
        <w:rPr>
          <w:rFonts w:cstheme="minorHAnsi"/>
          <w:b/>
          <w:bCs/>
        </w:rPr>
        <w:t>Le droit de reproduction, diffusion, traduction, adaptation, transformation, en tout ou partie</w:t>
      </w:r>
    </w:p>
    <w:p w14:paraId="69ED9378" w14:textId="77777777" w:rsidR="005352F4" w:rsidRPr="00E064A0" w:rsidRDefault="005352F4" w:rsidP="005352F4">
      <w:pPr>
        <w:spacing w:before="3" w:line="276" w:lineRule="auto"/>
        <w:ind w:left="720"/>
        <w:jc w:val="both"/>
        <w:rPr>
          <w:rFonts w:cstheme="minorHAnsi"/>
        </w:rPr>
      </w:pPr>
      <w:r w:rsidRPr="00E064A0">
        <w:rPr>
          <w:rFonts w:cstheme="minorHAnsi"/>
        </w:rPr>
        <w:t xml:space="preserve">Le droit d’usage pour des besoins internes, de plaidoyer, de communication publique, ou à des fins de </w:t>
      </w:r>
      <w:proofErr w:type="spellStart"/>
      <w:r w:rsidRPr="00E064A0">
        <w:rPr>
          <w:rFonts w:cstheme="minorHAnsi"/>
        </w:rPr>
        <w:t>reporting</w:t>
      </w:r>
      <w:proofErr w:type="spellEnd"/>
      <w:r w:rsidRPr="00E064A0">
        <w:rPr>
          <w:rFonts w:cstheme="minorHAnsi"/>
        </w:rPr>
        <w:t xml:space="preserve"> aux partenaires techniques et financiers.</w:t>
      </w:r>
    </w:p>
    <w:p w14:paraId="5A3F602C" w14:textId="77777777" w:rsidR="005352F4" w:rsidRPr="00E064A0" w:rsidRDefault="005352F4" w:rsidP="005352F4">
      <w:pPr>
        <w:numPr>
          <w:ilvl w:val="0"/>
          <w:numId w:val="45"/>
        </w:numPr>
        <w:spacing w:before="3" w:line="276" w:lineRule="auto"/>
        <w:jc w:val="both"/>
        <w:rPr>
          <w:rFonts w:cstheme="minorHAnsi"/>
          <w:b/>
          <w:bCs/>
        </w:rPr>
      </w:pPr>
      <w:r w:rsidRPr="00E064A0">
        <w:rPr>
          <w:rFonts w:cstheme="minorHAnsi"/>
          <w:b/>
          <w:bCs/>
        </w:rPr>
        <w:t>Mention des auteurs</w:t>
      </w:r>
    </w:p>
    <w:p w14:paraId="4C59624F" w14:textId="77777777" w:rsidR="005352F4" w:rsidRPr="00E064A0" w:rsidRDefault="005352F4" w:rsidP="005352F4">
      <w:pPr>
        <w:spacing w:before="3" w:line="276" w:lineRule="auto"/>
        <w:ind w:left="720"/>
        <w:jc w:val="both"/>
        <w:rPr>
          <w:rFonts w:cstheme="minorHAnsi"/>
        </w:rPr>
      </w:pPr>
      <w:r w:rsidRPr="00E064A0">
        <w:rPr>
          <w:rFonts w:cstheme="minorHAnsi"/>
        </w:rPr>
        <w:t>SNV se réserve le droit de mentionner ou non le nom du consultant ou de l’organisation prestataire dans la diffusion des produits réalisés, selon le contexte, les supports, ou les politiques de communication en vigueur.</w:t>
      </w:r>
    </w:p>
    <w:p w14:paraId="1C1D40E0" w14:textId="77777777" w:rsidR="005352F4" w:rsidRPr="00E064A0" w:rsidRDefault="005352F4" w:rsidP="005352F4">
      <w:pPr>
        <w:numPr>
          <w:ilvl w:val="0"/>
          <w:numId w:val="45"/>
        </w:numPr>
        <w:spacing w:before="3" w:line="276" w:lineRule="auto"/>
        <w:jc w:val="both"/>
        <w:rPr>
          <w:rFonts w:cstheme="minorHAnsi"/>
          <w:b/>
          <w:bCs/>
        </w:rPr>
      </w:pPr>
      <w:r w:rsidRPr="00E064A0">
        <w:rPr>
          <w:rFonts w:cstheme="minorHAnsi"/>
          <w:b/>
          <w:bCs/>
        </w:rPr>
        <w:t>Interdiction de réutilisation sans autorisation</w:t>
      </w:r>
    </w:p>
    <w:p w14:paraId="294E927D" w14:textId="77777777" w:rsidR="005352F4" w:rsidRPr="00E064A0" w:rsidRDefault="005352F4" w:rsidP="005352F4">
      <w:pPr>
        <w:spacing w:before="3" w:line="276" w:lineRule="auto"/>
        <w:ind w:left="720"/>
        <w:jc w:val="both"/>
        <w:rPr>
          <w:rFonts w:cstheme="minorHAnsi"/>
        </w:rPr>
      </w:pPr>
      <w:r w:rsidRPr="00E064A0">
        <w:rPr>
          <w:rFonts w:cstheme="minorHAnsi"/>
        </w:rPr>
        <w:t>Le consultant ne pourra en aucun cas revendre, réutiliser ou redistribuer à des tiers les produits ou résultats du travail réalisé sans l'accord écrit préalable de SNV.</w:t>
      </w:r>
    </w:p>
    <w:p w14:paraId="46569954" w14:textId="77777777" w:rsidR="005352F4" w:rsidRPr="00E064A0" w:rsidRDefault="005352F4" w:rsidP="005352F4">
      <w:pPr>
        <w:numPr>
          <w:ilvl w:val="0"/>
          <w:numId w:val="45"/>
        </w:numPr>
        <w:spacing w:before="3" w:line="276" w:lineRule="auto"/>
        <w:jc w:val="both"/>
        <w:rPr>
          <w:rFonts w:cstheme="minorHAnsi"/>
          <w:b/>
          <w:bCs/>
        </w:rPr>
      </w:pPr>
      <w:r w:rsidRPr="00E064A0">
        <w:rPr>
          <w:rFonts w:cstheme="minorHAnsi"/>
          <w:b/>
          <w:bCs/>
        </w:rPr>
        <w:t>Protection des contenus sensibles</w:t>
      </w:r>
    </w:p>
    <w:p w14:paraId="03451625" w14:textId="77777777" w:rsidR="005352F4" w:rsidRPr="00E064A0" w:rsidRDefault="005352F4" w:rsidP="005352F4">
      <w:pPr>
        <w:spacing w:before="3" w:line="276" w:lineRule="auto"/>
        <w:ind w:left="720"/>
        <w:jc w:val="both"/>
        <w:rPr>
          <w:rFonts w:cstheme="minorHAnsi"/>
        </w:rPr>
      </w:pPr>
      <w:r w:rsidRPr="00E064A0">
        <w:rPr>
          <w:rFonts w:cstheme="minorHAnsi"/>
        </w:rPr>
        <w:t>Le prestataire s'engage à ne pas divulguer, publier ou utiliser à des fins personnelles ou commerciales toute information confidentielle, stratégique ou sensible obtenue dans le cadre de la mission.</w:t>
      </w:r>
    </w:p>
    <w:p w14:paraId="0C6F28C4" w14:textId="77777777" w:rsidR="005352F4" w:rsidRPr="00E064A0" w:rsidRDefault="005352F4" w:rsidP="005352F4">
      <w:pPr>
        <w:numPr>
          <w:ilvl w:val="0"/>
          <w:numId w:val="45"/>
        </w:numPr>
        <w:spacing w:before="3" w:line="276" w:lineRule="auto"/>
        <w:jc w:val="both"/>
        <w:rPr>
          <w:rFonts w:cstheme="minorHAnsi"/>
          <w:b/>
          <w:bCs/>
        </w:rPr>
      </w:pPr>
      <w:r w:rsidRPr="00E064A0">
        <w:rPr>
          <w:rFonts w:cstheme="minorHAnsi"/>
          <w:b/>
          <w:bCs/>
        </w:rPr>
        <w:t>Respect des droits de tiers</w:t>
      </w:r>
    </w:p>
    <w:p w14:paraId="637CB2CA" w14:textId="245CEFAF" w:rsidR="005352F4" w:rsidRPr="00067868" w:rsidRDefault="005352F4" w:rsidP="00067868">
      <w:pPr>
        <w:spacing w:before="3" w:line="276" w:lineRule="auto"/>
        <w:ind w:left="720"/>
        <w:jc w:val="both"/>
        <w:rPr>
          <w:rFonts w:cstheme="minorHAnsi"/>
        </w:rPr>
      </w:pPr>
      <w:r w:rsidRPr="00E064A0">
        <w:rPr>
          <w:rFonts w:cstheme="minorHAnsi"/>
        </w:rPr>
        <w:t>Il appartient au consultant de s’assurer que les éléments fournis à SNV (images, sons, logiciels, polices, etc.) sont libres de droits ou utilisés dans le respect des licences applicables. Toute violation de droits de propriété intellectuelle de tiers relèvera de sa responsabilité exclusive.</w:t>
      </w:r>
    </w:p>
    <w:p w14:paraId="0BFDCF25" w14:textId="77777777" w:rsidR="002623EB" w:rsidRPr="008A6A04" w:rsidRDefault="002623EB" w:rsidP="002623EB">
      <w:pPr>
        <w:rPr>
          <w:rFonts w:cstheme="minorHAnsi"/>
          <w:sz w:val="24"/>
          <w:szCs w:val="24"/>
        </w:rPr>
      </w:pPr>
    </w:p>
    <w:p w14:paraId="63FC6C15" w14:textId="3B75C04B" w:rsidR="002623EB" w:rsidRPr="008A6A04" w:rsidRDefault="002623EB" w:rsidP="00C42388">
      <w:pPr>
        <w:pStyle w:val="Heading1"/>
      </w:pPr>
      <w:r w:rsidRPr="008A6A04">
        <w:t>S</w:t>
      </w:r>
      <w:r w:rsidR="00CA5A02" w:rsidRPr="008A6A04">
        <w:t>oumission</w:t>
      </w:r>
    </w:p>
    <w:p w14:paraId="59BFED04" w14:textId="2BDD4307" w:rsidR="008779D2" w:rsidRPr="008C24DF" w:rsidRDefault="00C42388" w:rsidP="008779D2">
      <w:pPr>
        <w:rPr>
          <w:rFonts w:cstheme="minorHAnsi"/>
          <w:sz w:val="24"/>
          <w:szCs w:val="24"/>
        </w:rPr>
      </w:pPr>
      <w:r w:rsidRPr="008A6A04">
        <w:rPr>
          <w:rFonts w:cstheme="minorHAnsi"/>
          <w:sz w:val="24"/>
          <w:szCs w:val="24"/>
        </w:rPr>
        <w:t xml:space="preserve">Les </w:t>
      </w:r>
      <w:proofErr w:type="spellStart"/>
      <w:r w:rsidRPr="008A6A04">
        <w:rPr>
          <w:rFonts w:cstheme="minorHAnsi"/>
          <w:sz w:val="24"/>
          <w:szCs w:val="24"/>
        </w:rPr>
        <w:t>candidats</w:t>
      </w:r>
      <w:r w:rsidR="008779D2" w:rsidRPr="008A6A04">
        <w:rPr>
          <w:rFonts w:cstheme="minorHAnsi"/>
          <w:sz w:val="24"/>
          <w:szCs w:val="24"/>
        </w:rPr>
        <w:t>.</w:t>
      </w:r>
      <w:proofErr w:type="gramStart"/>
      <w:r w:rsidR="008779D2" w:rsidRPr="008A6A04">
        <w:rPr>
          <w:rFonts w:cstheme="minorHAnsi"/>
          <w:sz w:val="24"/>
          <w:szCs w:val="24"/>
        </w:rPr>
        <w:t>e.s</w:t>
      </w:r>
      <w:proofErr w:type="spellEnd"/>
      <w:proofErr w:type="gramEnd"/>
      <w:r w:rsidR="008779D2" w:rsidRPr="008A6A04">
        <w:rPr>
          <w:rFonts w:cstheme="minorHAnsi"/>
          <w:sz w:val="24"/>
          <w:szCs w:val="24"/>
        </w:rPr>
        <w:t xml:space="preserve"> </w:t>
      </w:r>
      <w:proofErr w:type="spellStart"/>
      <w:r w:rsidR="008779D2" w:rsidRPr="008A6A04">
        <w:rPr>
          <w:rFonts w:cstheme="minorHAnsi"/>
          <w:sz w:val="24"/>
          <w:szCs w:val="24"/>
        </w:rPr>
        <w:t>intéressé.</w:t>
      </w:r>
      <w:proofErr w:type="gramStart"/>
      <w:r w:rsidR="008779D2" w:rsidRPr="008A6A04">
        <w:rPr>
          <w:rFonts w:cstheme="minorHAnsi"/>
          <w:sz w:val="24"/>
          <w:szCs w:val="24"/>
        </w:rPr>
        <w:t>e.s</w:t>
      </w:r>
      <w:proofErr w:type="spellEnd"/>
      <w:proofErr w:type="gramEnd"/>
      <w:r w:rsidR="008779D2" w:rsidRPr="008A6A04">
        <w:rPr>
          <w:rFonts w:cstheme="minorHAnsi"/>
          <w:sz w:val="24"/>
          <w:szCs w:val="24"/>
        </w:rPr>
        <w:t xml:space="preserve"> sont </w:t>
      </w:r>
      <w:proofErr w:type="spellStart"/>
      <w:r w:rsidR="008A6A04" w:rsidRPr="008A6A04">
        <w:rPr>
          <w:rFonts w:cstheme="minorHAnsi"/>
          <w:sz w:val="24"/>
          <w:szCs w:val="24"/>
        </w:rPr>
        <w:t>invité-es</w:t>
      </w:r>
      <w:proofErr w:type="spellEnd"/>
      <w:r w:rsidR="008779D2" w:rsidRPr="008A6A04">
        <w:rPr>
          <w:rFonts w:cstheme="minorHAnsi"/>
          <w:sz w:val="24"/>
          <w:szCs w:val="24"/>
        </w:rPr>
        <w:t xml:space="preserve"> à soumettre une proposition technique une proposition et financière à l’adresse suivante :</w:t>
      </w:r>
      <w:r w:rsidR="002C1800">
        <w:rPr>
          <w:rFonts w:cstheme="minorHAnsi"/>
          <w:sz w:val="24"/>
          <w:szCs w:val="24"/>
        </w:rPr>
        <w:t xml:space="preserve"> </w:t>
      </w:r>
      <w:hyperlink r:id="rId12" w:history="1">
        <w:r w:rsidR="00067868" w:rsidRPr="001E4665">
          <w:rPr>
            <w:rStyle w:val="Hyperlink"/>
            <w:rFonts w:cstheme="minorHAnsi"/>
            <w:b/>
            <w:bCs/>
            <w:sz w:val="24"/>
            <w:szCs w:val="24"/>
          </w:rPr>
          <w:t>maliprocurement@snv.org</w:t>
        </w:r>
      </w:hyperlink>
      <w:r w:rsidR="008C24DF">
        <w:rPr>
          <w:rFonts w:cstheme="minorHAnsi"/>
          <w:b/>
          <w:bCs/>
          <w:sz w:val="24"/>
          <w:szCs w:val="24"/>
        </w:rPr>
        <w:t xml:space="preserve"> </w:t>
      </w:r>
      <w:r w:rsidR="008C24DF" w:rsidRPr="008A6A04">
        <w:rPr>
          <w:rFonts w:cstheme="minorHAnsi"/>
          <w:sz w:val="24"/>
          <w:szCs w:val="24"/>
        </w:rPr>
        <w:t>au plus tard le 13 février 2026 à 11h00</w:t>
      </w:r>
    </w:p>
    <w:p w14:paraId="5BB38A8B" w14:textId="63049085" w:rsidR="008779D2" w:rsidRPr="008A6A04" w:rsidRDefault="008779D2" w:rsidP="008779D2">
      <w:pPr>
        <w:rPr>
          <w:rFonts w:cstheme="minorHAnsi"/>
          <w:sz w:val="24"/>
          <w:szCs w:val="24"/>
        </w:rPr>
      </w:pPr>
    </w:p>
    <w:p w14:paraId="78BE4804" w14:textId="77777777" w:rsidR="008779D2" w:rsidRPr="008A6A04" w:rsidRDefault="008779D2" w:rsidP="008779D2">
      <w:pPr>
        <w:rPr>
          <w:rFonts w:cstheme="minorHAnsi"/>
          <w:sz w:val="24"/>
          <w:szCs w:val="24"/>
        </w:rPr>
      </w:pPr>
    </w:p>
    <w:p w14:paraId="1AC7A3F8" w14:textId="77777777" w:rsidR="002623EB" w:rsidRPr="008A6A04" w:rsidRDefault="002623EB" w:rsidP="00D627B5">
      <w:pPr>
        <w:rPr>
          <w:rFonts w:cstheme="minorHAnsi"/>
          <w:sz w:val="24"/>
          <w:szCs w:val="24"/>
        </w:rPr>
      </w:pPr>
    </w:p>
    <w:p w14:paraId="6BC1E416" w14:textId="77777777" w:rsidR="00E319D6" w:rsidRPr="008A6A04" w:rsidRDefault="00E319D6" w:rsidP="00E319D6">
      <w:pPr>
        <w:rPr>
          <w:rFonts w:cstheme="minorHAnsi"/>
          <w:sz w:val="24"/>
          <w:szCs w:val="24"/>
        </w:rPr>
      </w:pPr>
    </w:p>
    <w:sectPr w:rsidR="00E319D6" w:rsidRPr="008A6A04" w:rsidSect="006A36A1">
      <w:headerReference w:type="default" r:id="rId13"/>
      <w:footerReference w:type="default" r:id="rId14"/>
      <w:headerReference w:type="first" r:id="rId15"/>
      <w:footerReference w:type="first" r:id="rId16"/>
      <w:pgSz w:w="11906" w:h="16838" w:code="9"/>
      <w:pgMar w:top="3119" w:right="1469" w:bottom="170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8A7EB" w14:textId="77777777" w:rsidR="00E1516E" w:rsidRPr="002614DE" w:rsidRDefault="00E1516E" w:rsidP="002419DA">
      <w:pPr>
        <w:spacing w:line="240" w:lineRule="auto"/>
      </w:pPr>
      <w:r w:rsidRPr="002614DE">
        <w:separator/>
      </w:r>
    </w:p>
  </w:endnote>
  <w:endnote w:type="continuationSeparator" w:id="0">
    <w:p w14:paraId="70C14E49" w14:textId="77777777" w:rsidR="00E1516E" w:rsidRPr="002614DE" w:rsidRDefault="00E1516E" w:rsidP="002419DA">
      <w:pPr>
        <w:spacing w:line="240" w:lineRule="auto"/>
      </w:pPr>
      <w:r w:rsidRPr="00261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E82C" w14:textId="77777777" w:rsidR="000327F0" w:rsidRPr="004E4639" w:rsidRDefault="000327F0" w:rsidP="000327F0">
    <w:pPr>
      <w:pStyle w:val="Footer"/>
      <w:jc w:val="right"/>
      <w:rPr>
        <w:noProof w:val="0"/>
      </w:rPr>
    </w:pPr>
    <w:r w:rsidRPr="004E4639">
      <w:rPr>
        <w:noProof w:val="0"/>
      </w:rPr>
      <w:fldChar w:fldCharType="begin"/>
    </w:r>
    <w:r w:rsidRPr="004E4639">
      <w:rPr>
        <w:noProof w:val="0"/>
      </w:rPr>
      <w:instrText xml:space="preserve"> PAGE  \* Arabic </w:instrText>
    </w:r>
    <w:r w:rsidRPr="004E4639">
      <w:rPr>
        <w:noProof w:val="0"/>
      </w:rPr>
      <w:fldChar w:fldCharType="separate"/>
    </w:r>
    <w:r w:rsidRPr="004E4639">
      <w:rPr>
        <w:noProof w:val="0"/>
      </w:rPr>
      <w:t>2</w:t>
    </w:r>
    <w:r w:rsidRPr="004E4639">
      <w:rPr>
        <w:noProof w:val="0"/>
      </w:rPr>
      <w:fldChar w:fldCharType="end"/>
    </w:r>
    <w:r w:rsidRPr="004E4639">
      <w:rPr>
        <w:noProof w:val="0"/>
      </w:rPr>
      <w:t xml:space="preserve"> / </w:t>
    </w:r>
    <w:r w:rsidRPr="004E4639">
      <w:rPr>
        <w:noProof w:val="0"/>
      </w:rPr>
      <w:fldChar w:fldCharType="begin"/>
    </w:r>
    <w:r w:rsidRPr="004E4639">
      <w:rPr>
        <w:noProof w:val="0"/>
      </w:rPr>
      <w:instrText xml:space="preserve"> NUMPAGES  \* Arabic </w:instrText>
    </w:r>
    <w:r w:rsidRPr="004E4639">
      <w:rPr>
        <w:noProof w:val="0"/>
      </w:rPr>
      <w:fldChar w:fldCharType="separate"/>
    </w:r>
    <w:r w:rsidRPr="004E4639">
      <w:rPr>
        <w:noProof w:val="0"/>
      </w:rPr>
      <w:t>3</w:t>
    </w:r>
    <w:r w:rsidRPr="004E4639">
      <w:rPr>
        <w:noProof w:val="0"/>
      </w:rPr>
      <w:fldChar w:fldCharType="end"/>
    </w:r>
  </w:p>
  <w:p w14:paraId="33B7A66B" w14:textId="77777777" w:rsidR="00975D3E" w:rsidRPr="004E4639" w:rsidRDefault="00975D3E" w:rsidP="00902DAF">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5B4F41" w:rsidRPr="002614DE" w14:paraId="0E017581" w14:textId="77777777" w:rsidTr="005B4F41">
      <w:tc>
        <w:tcPr>
          <w:tcW w:w="4536" w:type="dxa"/>
          <w:vAlign w:val="bottom"/>
        </w:tcPr>
        <w:p w14:paraId="7C3D0463" w14:textId="77777777" w:rsidR="000C1D84" w:rsidRPr="004E4639" w:rsidRDefault="000C1D84" w:rsidP="005B4F41">
          <w:pPr>
            <w:pStyle w:val="Footer"/>
            <w:rPr>
              <w:noProof w:val="0"/>
            </w:rPr>
          </w:pPr>
        </w:p>
      </w:tc>
      <w:tc>
        <w:tcPr>
          <w:tcW w:w="3515" w:type="dxa"/>
          <w:tcMar>
            <w:left w:w="992" w:type="dxa"/>
          </w:tcMar>
          <w:vAlign w:val="bottom"/>
        </w:tcPr>
        <w:p w14:paraId="4BDE4093" w14:textId="77777777" w:rsidR="000C1D84" w:rsidRPr="004E4639" w:rsidRDefault="000C1D84" w:rsidP="00233F7F">
          <w:pPr>
            <w:pStyle w:val="Footer"/>
            <w:rPr>
              <w:noProof w:val="0"/>
            </w:rPr>
          </w:pPr>
        </w:p>
      </w:tc>
      <w:tc>
        <w:tcPr>
          <w:tcW w:w="2494" w:type="dxa"/>
          <w:vAlign w:val="bottom"/>
        </w:tcPr>
        <w:p w14:paraId="286035EC" w14:textId="77777777" w:rsidR="000C1D84" w:rsidRPr="004E4639" w:rsidRDefault="000C1D84" w:rsidP="00233F7F">
          <w:pPr>
            <w:pStyle w:val="Footer"/>
            <w:rPr>
              <w:rFonts w:asciiTheme="majorHAnsi" w:hAnsiTheme="majorHAnsi"/>
              <w:b/>
              <w:bCs/>
              <w:noProof w:val="0"/>
            </w:rPr>
          </w:pPr>
        </w:p>
      </w:tc>
    </w:tr>
  </w:tbl>
  <w:p w14:paraId="69059660" w14:textId="77777777" w:rsidR="002419DA" w:rsidRPr="004E4639" w:rsidRDefault="00233F7F" w:rsidP="00233F7F">
    <w:pPr>
      <w:pStyle w:val="Footer"/>
      <w:tabs>
        <w:tab w:val="left" w:pos="4820"/>
      </w:tabs>
      <w:spacing w:line="14" w:lineRule="exact"/>
      <w:rPr>
        <w:noProof w:val="0"/>
      </w:rPr>
    </w:pPr>
    <w:r w:rsidRPr="004E4639">
      <mc:AlternateContent>
        <mc:Choice Requires="wps">
          <w:drawing>
            <wp:anchor distT="0" distB="0" distL="114300" distR="114300" simplePos="0" relativeHeight="251667456" behindDoc="1" locked="1" layoutInCell="1" allowOverlap="1" wp14:anchorId="564540DE" wp14:editId="39D671F8">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FA448" id="Graphic 7" o:spid="_x0000_s1026" alt="&quot;&quot;" style="position:absolute;margin-left:252.4pt;margin-top:0;width:303.6pt;height:178.6pt;z-index:-25164902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path="m1627661,62190l259941,852259c117393,935179,,1137355,,1302263r,354040l2816496,1656303r,-1207463l2147543,62190v-142548,-82920,-377334,-82920,-519882,xe" fillcolor="#eff8fe" stroked="f" strokeweight="0">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B8D1D" w14:textId="77777777" w:rsidR="00E1516E" w:rsidRPr="002614DE" w:rsidRDefault="00E1516E" w:rsidP="002419DA">
      <w:pPr>
        <w:spacing w:line="240" w:lineRule="auto"/>
      </w:pPr>
      <w:r w:rsidRPr="002614DE">
        <w:separator/>
      </w:r>
    </w:p>
  </w:footnote>
  <w:footnote w:type="continuationSeparator" w:id="0">
    <w:p w14:paraId="57E1F159" w14:textId="77777777" w:rsidR="00E1516E" w:rsidRPr="002614DE" w:rsidRDefault="00E1516E" w:rsidP="002419DA">
      <w:pPr>
        <w:spacing w:line="240" w:lineRule="auto"/>
      </w:pPr>
      <w:r w:rsidRPr="002614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BEE4" w14:textId="77777777" w:rsidR="002419DA" w:rsidRPr="004E4639" w:rsidRDefault="009128CE">
    <w:pPr>
      <w:pStyle w:val="Header"/>
      <w:rPr>
        <w:noProof w:val="0"/>
      </w:rPr>
    </w:pPr>
    <w:r w:rsidRPr="004E4639">
      <w:drawing>
        <wp:anchor distT="0" distB="0" distL="114300" distR="114300" simplePos="0" relativeHeight="251670528" behindDoc="0" locked="0" layoutInCell="1" allowOverlap="1" wp14:anchorId="3B286595" wp14:editId="17CDD1EF">
          <wp:simplePos x="0" y="0"/>
          <wp:positionH relativeFrom="page">
            <wp:posOffset>491007</wp:posOffset>
          </wp:positionH>
          <wp:positionV relativeFrom="page">
            <wp:posOffset>489585</wp:posOffset>
          </wp:positionV>
          <wp:extent cx="2231390" cy="1115695"/>
          <wp:effectExtent l="0" t="0" r="0" b="0"/>
          <wp:wrapNone/>
          <wp:docPr id="829475059"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r w:rsidR="00D628DB" w:rsidRPr="004E4639">
      <mc:AlternateContent>
        <mc:Choice Requires="wps">
          <w:drawing>
            <wp:anchor distT="0" distB="0" distL="114300" distR="114300" simplePos="0" relativeHeight="251674624" behindDoc="0" locked="0" layoutInCell="1" allowOverlap="1" wp14:anchorId="4DFB86A7" wp14:editId="4569A3C9">
              <wp:simplePos x="0" y="0"/>
              <wp:positionH relativeFrom="column">
                <wp:posOffset>2860760</wp:posOffset>
              </wp:positionH>
              <wp:positionV relativeFrom="paragraph">
                <wp:posOffset>887104</wp:posOffset>
              </wp:positionV>
              <wp:extent cx="2797420" cy="317110"/>
              <wp:effectExtent l="0" t="0" r="3175" b="6985"/>
              <wp:wrapNone/>
              <wp:docPr id="2107794691" name="Text Box 3"/>
              <wp:cNvGraphicFramePr/>
              <a:graphic xmlns:a="http://schemas.openxmlformats.org/drawingml/2006/main">
                <a:graphicData uri="http://schemas.microsoft.com/office/word/2010/wordprocessingShape">
                  <wps:wsp>
                    <wps:cNvSpPr txBox="1"/>
                    <wps:spPr>
                      <a:xfrm>
                        <a:off x="0" y="0"/>
                        <a:ext cx="2797420" cy="317110"/>
                      </a:xfrm>
                      <a:prstGeom prst="rect">
                        <a:avLst/>
                      </a:prstGeom>
                      <a:solidFill>
                        <a:schemeClr val="lt1"/>
                      </a:solidFill>
                      <a:ln w="6350">
                        <a:noFill/>
                      </a:ln>
                    </wps:spPr>
                    <wps:txbx>
                      <w:txbxContent>
                        <w:p w14:paraId="72DF1174" w14:textId="4EBCB171" w:rsidR="00D628DB" w:rsidRPr="002614DE" w:rsidRDefault="00E319D6" w:rsidP="00D628DB">
                          <w:pPr>
                            <w:jc w:val="right"/>
                            <w:rPr>
                              <w:rFonts w:asciiTheme="majorHAnsi" w:hAnsiTheme="majorHAnsi" w:cstheme="majorHAnsi"/>
                              <w:b/>
                              <w:bCs/>
                              <w:color w:val="375380" w:themeColor="text2"/>
                              <w:sz w:val="32"/>
                              <w:szCs w:val="32"/>
                            </w:rPr>
                          </w:pPr>
                          <w:r w:rsidRPr="002614DE">
                            <w:rPr>
                              <w:rFonts w:asciiTheme="majorHAnsi" w:hAnsiTheme="majorHAnsi" w:cstheme="majorHAnsi"/>
                              <w:b/>
                              <w:bCs/>
                              <w:color w:val="375380" w:themeColor="text2"/>
                              <w:sz w:val="32"/>
                              <w:szCs w:val="32"/>
                            </w:rPr>
                            <w:t>Term</w:t>
                          </w:r>
                          <w:r w:rsidR="00CA5A02" w:rsidRPr="002614DE">
                            <w:rPr>
                              <w:rFonts w:asciiTheme="majorHAnsi" w:hAnsiTheme="majorHAnsi" w:cstheme="majorHAnsi"/>
                              <w:b/>
                              <w:bCs/>
                              <w:color w:val="375380" w:themeColor="text2"/>
                              <w:sz w:val="32"/>
                              <w:szCs w:val="32"/>
                            </w:rPr>
                            <w:t>es de Référence</w:t>
                          </w:r>
                          <w:r w:rsidRPr="002614DE">
                            <w:rPr>
                              <w:rFonts w:asciiTheme="majorHAnsi" w:hAnsiTheme="majorHAnsi" w:cstheme="majorHAnsi"/>
                              <w:b/>
                              <w:bCs/>
                              <w:color w:val="375380" w:themeColor="text2"/>
                              <w:sz w:val="32"/>
                              <w:szCs w:val="32"/>
                            </w:rPr>
                            <w:t xml:space="preserve"> (</w:t>
                          </w:r>
                          <w:proofErr w:type="spellStart"/>
                          <w:r w:rsidRPr="002614DE">
                            <w:rPr>
                              <w:rFonts w:asciiTheme="majorHAnsi" w:hAnsiTheme="majorHAnsi" w:cstheme="majorHAnsi"/>
                              <w:b/>
                              <w:bCs/>
                              <w:color w:val="375380" w:themeColor="text2"/>
                              <w:sz w:val="32"/>
                              <w:szCs w:val="32"/>
                            </w:rPr>
                            <w:t>T</w:t>
                          </w:r>
                          <w:r w:rsidR="00CA5A02" w:rsidRPr="002614DE">
                            <w:rPr>
                              <w:rFonts w:asciiTheme="majorHAnsi" w:hAnsiTheme="majorHAnsi" w:cstheme="majorHAnsi"/>
                              <w:b/>
                              <w:bCs/>
                              <w:color w:val="375380" w:themeColor="text2"/>
                              <w:sz w:val="32"/>
                              <w:szCs w:val="32"/>
                            </w:rPr>
                            <w:t>d</w:t>
                          </w:r>
                          <w:r w:rsidRPr="002614DE">
                            <w:rPr>
                              <w:rFonts w:asciiTheme="majorHAnsi" w:hAnsiTheme="majorHAnsi" w:cstheme="majorHAnsi"/>
                              <w:b/>
                              <w:bCs/>
                              <w:color w:val="375380" w:themeColor="text2"/>
                              <w:sz w:val="32"/>
                              <w:szCs w:val="32"/>
                            </w:rPr>
                            <w:t>R</w:t>
                          </w:r>
                          <w:proofErr w:type="spellEnd"/>
                          <w:r w:rsidRPr="002614DE">
                            <w:rPr>
                              <w:rFonts w:asciiTheme="majorHAnsi" w:hAnsiTheme="majorHAnsi" w:cstheme="majorHAnsi"/>
                              <w:b/>
                              <w:bCs/>
                              <w:color w:val="375380" w:themeColor="text2"/>
                              <w:sz w:val="32"/>
                              <w:szCs w:val="32"/>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B86A7" id="_x0000_t202" coordsize="21600,21600" o:spt="202" path="m,l,21600r21600,l21600,xe">
              <v:stroke joinstyle="miter"/>
              <v:path gradientshapeok="t" o:connecttype="rect"/>
            </v:shapetype>
            <v:shape id="Text Box 3" o:spid="_x0000_s1026" type="#_x0000_t202" style="position:absolute;margin-left:225.25pt;margin-top:69.85pt;width:220.25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" fillcolor="white [3201]" stroked="f" strokeweight=".5pt">
              <v:textbox inset="1mm,1mm,1mm,1mm">
                <w:txbxContent>
                  <w:p w14:paraId="72DF1174" w14:textId="4EBCB171" w:rsidR="00D628DB" w:rsidRPr="002614DE" w:rsidRDefault="00E319D6" w:rsidP="00D628DB">
                    <w:pPr>
                      <w:jc w:val="right"/>
                      <w:rPr>
                        <w:rFonts w:asciiTheme="majorHAnsi" w:hAnsiTheme="majorHAnsi" w:cstheme="majorHAnsi"/>
                        <w:b/>
                        <w:bCs/>
                        <w:color w:val="375380" w:themeColor="text2"/>
                        <w:sz w:val="32"/>
                        <w:szCs w:val="32"/>
                      </w:rPr>
                    </w:pPr>
                    <w:r w:rsidRPr="002614DE">
                      <w:rPr>
                        <w:rFonts w:asciiTheme="majorHAnsi" w:hAnsiTheme="majorHAnsi" w:cstheme="majorHAnsi"/>
                        <w:b/>
                        <w:bCs/>
                        <w:color w:val="375380" w:themeColor="text2"/>
                        <w:sz w:val="32"/>
                        <w:szCs w:val="32"/>
                      </w:rPr>
                      <w:t>Term</w:t>
                    </w:r>
                    <w:r w:rsidR="00CA5A02" w:rsidRPr="002614DE">
                      <w:rPr>
                        <w:rFonts w:asciiTheme="majorHAnsi" w:hAnsiTheme="majorHAnsi" w:cstheme="majorHAnsi"/>
                        <w:b/>
                        <w:bCs/>
                        <w:color w:val="375380" w:themeColor="text2"/>
                        <w:sz w:val="32"/>
                        <w:szCs w:val="32"/>
                      </w:rPr>
                      <w:t>es de Référence</w:t>
                    </w:r>
                    <w:r w:rsidRPr="002614DE">
                      <w:rPr>
                        <w:rFonts w:asciiTheme="majorHAnsi" w:hAnsiTheme="majorHAnsi" w:cstheme="majorHAnsi"/>
                        <w:b/>
                        <w:bCs/>
                        <w:color w:val="375380" w:themeColor="text2"/>
                        <w:sz w:val="32"/>
                        <w:szCs w:val="32"/>
                      </w:rPr>
                      <w:t xml:space="preserve"> (</w:t>
                    </w:r>
                    <w:proofErr w:type="spellStart"/>
                    <w:r w:rsidRPr="002614DE">
                      <w:rPr>
                        <w:rFonts w:asciiTheme="majorHAnsi" w:hAnsiTheme="majorHAnsi" w:cstheme="majorHAnsi"/>
                        <w:b/>
                        <w:bCs/>
                        <w:color w:val="375380" w:themeColor="text2"/>
                        <w:sz w:val="32"/>
                        <w:szCs w:val="32"/>
                      </w:rPr>
                      <w:t>T</w:t>
                    </w:r>
                    <w:r w:rsidR="00CA5A02" w:rsidRPr="002614DE">
                      <w:rPr>
                        <w:rFonts w:asciiTheme="majorHAnsi" w:hAnsiTheme="majorHAnsi" w:cstheme="majorHAnsi"/>
                        <w:b/>
                        <w:bCs/>
                        <w:color w:val="375380" w:themeColor="text2"/>
                        <w:sz w:val="32"/>
                        <w:szCs w:val="32"/>
                      </w:rPr>
                      <w:t>d</w:t>
                    </w:r>
                    <w:r w:rsidRPr="002614DE">
                      <w:rPr>
                        <w:rFonts w:asciiTheme="majorHAnsi" w:hAnsiTheme="majorHAnsi" w:cstheme="majorHAnsi"/>
                        <w:b/>
                        <w:bCs/>
                        <w:color w:val="375380" w:themeColor="text2"/>
                        <w:sz w:val="32"/>
                        <w:szCs w:val="32"/>
                      </w:rPr>
                      <w:t>R</w:t>
                    </w:r>
                    <w:proofErr w:type="spellEnd"/>
                    <w:r w:rsidRPr="002614DE">
                      <w:rPr>
                        <w:rFonts w:asciiTheme="majorHAnsi" w:hAnsiTheme="majorHAnsi" w:cstheme="majorHAnsi"/>
                        <w:b/>
                        <w:bCs/>
                        <w:color w:val="375380" w:themeColor="text2"/>
                        <w:sz w:val="32"/>
                        <w:szCs w:val="32"/>
                      </w:rPr>
                      <w:t>)</w:t>
                    </w:r>
                  </w:p>
                </w:txbxContent>
              </v:textbox>
            </v:shape>
          </w:pict>
        </mc:Fallback>
      </mc:AlternateContent>
    </w:r>
    <w:r w:rsidR="000D0B3D" w:rsidRPr="004E4639">
      <mc:AlternateContent>
        <mc:Choice Requires="wps">
          <w:drawing>
            <wp:anchor distT="0" distB="0" distL="114300" distR="114300" simplePos="0" relativeHeight="251672576" behindDoc="1" locked="1" layoutInCell="1" allowOverlap="1" wp14:anchorId="00BD3E2D" wp14:editId="7706E3E4">
              <wp:simplePos x="0" y="0"/>
              <wp:positionH relativeFrom="page">
                <wp:posOffset>4181475</wp:posOffset>
              </wp:positionH>
              <wp:positionV relativeFrom="page">
                <wp:posOffset>8891270</wp:posOffset>
              </wp:positionV>
              <wp:extent cx="3855085" cy="2267585"/>
              <wp:effectExtent l="0" t="0" r="0" b="0"/>
              <wp:wrapNone/>
              <wp:docPr id="144616157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0E994" id="Graphic 7" o:spid="_x0000_s1026" alt="&quot;&quot;" style="position:absolute;margin-left:329.25pt;margin-top:700.1pt;width:303.55pt;height:178.5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path="m1627661,62190l259941,852259c117393,935179,,1137355,,1302263r,354040l2816496,1656303r,-1207463l2147543,62190v-142548,-82920,-377334,-82920,-519882,xe" fillcolor="#eff8fe" stroked="f" strokeweight="0">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18DC" w14:textId="77777777" w:rsidR="002419DA" w:rsidRPr="004E4639" w:rsidRDefault="00233F7F" w:rsidP="005F1140">
    <w:pPr>
      <w:pStyle w:val="Header"/>
      <w:spacing w:line="2960" w:lineRule="exact"/>
      <w:rPr>
        <w:noProof w:val="0"/>
      </w:rPr>
    </w:pPr>
    <w:r w:rsidRPr="004E4639">
      <w:drawing>
        <wp:anchor distT="0" distB="0" distL="114300" distR="114300" simplePos="0" relativeHeight="251668480" behindDoc="0" locked="0" layoutInCell="1" allowOverlap="1" wp14:anchorId="5E618DB9" wp14:editId="5F86ED2A">
          <wp:simplePos x="0" y="0"/>
          <wp:positionH relativeFrom="page">
            <wp:posOffset>483235</wp:posOffset>
          </wp:positionH>
          <wp:positionV relativeFrom="page">
            <wp:posOffset>490220</wp:posOffset>
          </wp:positionV>
          <wp:extent cx="2232000" cy="1114544"/>
          <wp:effectExtent l="0" t="0" r="0" b="0"/>
          <wp:wrapNone/>
          <wp:docPr id="2072495596"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E63"/>
    <w:multiLevelType w:val="hybridMultilevel"/>
    <w:tmpl w:val="8A821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12B7B38"/>
    <w:multiLevelType w:val="hybridMultilevel"/>
    <w:tmpl w:val="D2B8890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4" w15:restartNumberingAfterBreak="0">
    <w:nsid w:val="0B3F1347"/>
    <w:multiLevelType w:val="hybridMultilevel"/>
    <w:tmpl w:val="6BCABB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A17988"/>
    <w:multiLevelType w:val="multilevel"/>
    <w:tmpl w:val="68121924"/>
    <w:numStyleLink w:val="Koppenlijst"/>
  </w:abstractNum>
  <w:abstractNum w:abstractNumId="6" w15:restartNumberingAfterBreak="0">
    <w:nsid w:val="14261DA8"/>
    <w:multiLevelType w:val="hybridMultilevel"/>
    <w:tmpl w:val="6FF0C8AC"/>
    <w:lvl w:ilvl="0" w:tplc="B6A6A64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7B7E3" w:themeColor="accent1"/>
      </w:rPr>
    </w:lvl>
    <w:lvl w:ilvl="1">
      <w:start w:val="1"/>
      <w:numFmt w:val="bullet"/>
      <w:lvlText w:val="○"/>
      <w:lvlJc w:val="left"/>
      <w:pPr>
        <w:ind w:left="794" w:hanging="397"/>
      </w:pPr>
      <w:rPr>
        <w:rFonts w:ascii="Arial" w:hAnsi="Arial" w:hint="default"/>
        <w:color w:val="17B7E3" w:themeColor="accent1"/>
      </w:rPr>
    </w:lvl>
    <w:lvl w:ilvl="2">
      <w:start w:val="1"/>
      <w:numFmt w:val="bullet"/>
      <w:lvlText w:val="-"/>
      <w:lvlJc w:val="left"/>
      <w:pPr>
        <w:ind w:left="1191" w:hanging="397"/>
      </w:pPr>
      <w:rPr>
        <w:rFonts w:asciiTheme="minorHAnsi" w:hAnsiTheme="minorHAnsi" w:cs="Times New Roman" w:hint="default"/>
        <w:color w:val="17B7E3" w:themeColor="accent1"/>
      </w:rPr>
    </w:lvl>
    <w:lvl w:ilvl="3">
      <w:start w:val="1"/>
      <w:numFmt w:val="bullet"/>
      <w:lvlText w:val="-"/>
      <w:lvlJc w:val="left"/>
      <w:pPr>
        <w:ind w:left="1588" w:hanging="397"/>
      </w:pPr>
      <w:rPr>
        <w:rFonts w:asciiTheme="minorHAnsi" w:hAnsiTheme="minorHAnsi" w:cs="Times New Roman" w:hint="default"/>
        <w:color w:val="17B7E3" w:themeColor="accent1"/>
      </w:rPr>
    </w:lvl>
    <w:lvl w:ilvl="4">
      <w:start w:val="1"/>
      <w:numFmt w:val="bullet"/>
      <w:lvlText w:val="-"/>
      <w:lvlJc w:val="left"/>
      <w:pPr>
        <w:ind w:left="1985" w:hanging="397"/>
      </w:pPr>
      <w:rPr>
        <w:rFonts w:asciiTheme="minorHAnsi" w:hAnsiTheme="minorHAnsi" w:cs="Times New Roman" w:hint="default"/>
        <w:color w:val="17B7E3" w:themeColor="accent1"/>
      </w:rPr>
    </w:lvl>
    <w:lvl w:ilvl="5">
      <w:start w:val="1"/>
      <w:numFmt w:val="bullet"/>
      <w:lvlText w:val="-"/>
      <w:lvlJc w:val="left"/>
      <w:pPr>
        <w:ind w:left="2382" w:hanging="397"/>
      </w:pPr>
      <w:rPr>
        <w:rFonts w:asciiTheme="minorHAnsi" w:hAnsiTheme="minorHAnsi" w:cs="Times New Roman" w:hint="default"/>
        <w:color w:val="17B7E3" w:themeColor="accent1"/>
      </w:rPr>
    </w:lvl>
    <w:lvl w:ilvl="6">
      <w:start w:val="1"/>
      <w:numFmt w:val="bullet"/>
      <w:lvlText w:val="-"/>
      <w:lvlJc w:val="left"/>
      <w:pPr>
        <w:ind w:left="2779" w:hanging="397"/>
      </w:pPr>
      <w:rPr>
        <w:rFonts w:asciiTheme="minorHAnsi" w:hAnsiTheme="minorHAnsi" w:cs="Times New Roman" w:hint="default"/>
        <w:color w:val="17B7E3" w:themeColor="accent1"/>
      </w:rPr>
    </w:lvl>
    <w:lvl w:ilvl="7">
      <w:start w:val="1"/>
      <w:numFmt w:val="bullet"/>
      <w:lvlText w:val="-"/>
      <w:lvlJc w:val="left"/>
      <w:pPr>
        <w:ind w:left="3176" w:hanging="397"/>
      </w:pPr>
      <w:rPr>
        <w:rFonts w:asciiTheme="minorHAnsi" w:hAnsiTheme="minorHAnsi" w:cs="Times New Roman" w:hint="default"/>
        <w:color w:val="17B7E3" w:themeColor="accent1"/>
      </w:rPr>
    </w:lvl>
    <w:lvl w:ilvl="8">
      <w:start w:val="1"/>
      <w:numFmt w:val="bullet"/>
      <w:lvlText w:val="-"/>
      <w:lvlJc w:val="left"/>
      <w:pPr>
        <w:ind w:left="3573" w:hanging="397"/>
      </w:pPr>
      <w:rPr>
        <w:rFonts w:asciiTheme="minorHAnsi" w:hAnsiTheme="minorHAnsi" w:cs="Times New Roman" w:hint="default"/>
        <w:color w:val="17B7E3" w:themeColor="accent1"/>
      </w:rPr>
    </w:lvl>
  </w:abstractNum>
  <w:abstractNum w:abstractNumId="8" w15:restartNumberingAfterBreak="0">
    <w:nsid w:val="1FA52D40"/>
    <w:multiLevelType w:val="hybridMultilevel"/>
    <w:tmpl w:val="39A250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12" w15:restartNumberingAfterBreak="0">
    <w:nsid w:val="3DAA759F"/>
    <w:multiLevelType w:val="multilevel"/>
    <w:tmpl w:val="59D4A8E2"/>
    <w:numStyleLink w:val="Cijfers"/>
  </w:abstractNum>
  <w:abstractNum w:abstractNumId="13" w15:restartNumberingAfterBreak="0">
    <w:nsid w:val="3F764C75"/>
    <w:multiLevelType w:val="multilevel"/>
    <w:tmpl w:val="68121924"/>
    <w:numStyleLink w:val="Koppenlijst"/>
  </w:abstractNum>
  <w:abstractNum w:abstractNumId="14" w15:restartNumberingAfterBreak="0">
    <w:nsid w:val="4429170A"/>
    <w:multiLevelType w:val="hybridMultilevel"/>
    <w:tmpl w:val="2DF43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814A3C"/>
    <w:multiLevelType w:val="hybridMultilevel"/>
    <w:tmpl w:val="DFEC22C8"/>
    <w:lvl w:ilvl="0" w:tplc="7F1255E6">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F610CDD"/>
    <w:multiLevelType w:val="hybridMultilevel"/>
    <w:tmpl w:val="60785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535774"/>
    <w:multiLevelType w:val="hybridMultilevel"/>
    <w:tmpl w:val="AE0EE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A664D9"/>
    <w:multiLevelType w:val="hybridMultilevel"/>
    <w:tmpl w:val="294CAB3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6F05752D"/>
    <w:multiLevelType w:val="multilevel"/>
    <w:tmpl w:val="A15CC90A"/>
    <w:lvl w:ilvl="0">
      <w:start w:val="1"/>
      <w:numFmt w:val="decimal"/>
      <w:lvlText w:val="%1."/>
      <w:lvlJc w:val="left"/>
      <w:pPr>
        <w:ind w:left="397" w:hanging="397"/>
      </w:pPr>
      <w:rPr>
        <w:rFonts w:hint="default"/>
        <w:color w:val="17B7E3" w:themeColor="accent1"/>
      </w:rPr>
    </w:lvl>
    <w:lvl w:ilvl="1">
      <w:start w:val="1"/>
      <w:numFmt w:val="bullet"/>
      <w:lvlText w:val="○"/>
      <w:lvlJc w:val="left"/>
      <w:pPr>
        <w:ind w:left="794" w:hanging="397"/>
      </w:pPr>
      <w:rPr>
        <w:rFonts w:ascii="Arial" w:hAnsi="Arial" w:hint="default"/>
        <w:color w:val="17B7E3" w:themeColor="accent1"/>
      </w:rPr>
    </w:lvl>
    <w:lvl w:ilvl="2">
      <w:start w:val="1"/>
      <w:numFmt w:val="bullet"/>
      <w:lvlText w:val="-"/>
      <w:lvlJc w:val="left"/>
      <w:pPr>
        <w:ind w:left="1191" w:hanging="397"/>
      </w:pPr>
      <w:rPr>
        <w:rFonts w:asciiTheme="minorHAnsi" w:hAnsiTheme="minorHAnsi" w:cs="Times New Roman" w:hint="default"/>
        <w:color w:val="17B7E3" w:themeColor="accent1"/>
      </w:rPr>
    </w:lvl>
    <w:lvl w:ilvl="3">
      <w:start w:val="1"/>
      <w:numFmt w:val="bullet"/>
      <w:lvlText w:val="-"/>
      <w:lvlJc w:val="left"/>
      <w:pPr>
        <w:ind w:left="1588" w:hanging="397"/>
      </w:pPr>
      <w:rPr>
        <w:rFonts w:asciiTheme="minorHAnsi" w:hAnsiTheme="minorHAnsi" w:cs="Times New Roman" w:hint="default"/>
        <w:color w:val="17B7E3" w:themeColor="accent1"/>
      </w:rPr>
    </w:lvl>
    <w:lvl w:ilvl="4">
      <w:start w:val="1"/>
      <w:numFmt w:val="bullet"/>
      <w:lvlText w:val="-"/>
      <w:lvlJc w:val="left"/>
      <w:pPr>
        <w:ind w:left="1985" w:hanging="397"/>
      </w:pPr>
      <w:rPr>
        <w:rFonts w:asciiTheme="minorHAnsi" w:hAnsiTheme="minorHAnsi" w:cs="Times New Roman" w:hint="default"/>
        <w:color w:val="17B7E3" w:themeColor="accent1"/>
      </w:rPr>
    </w:lvl>
    <w:lvl w:ilvl="5">
      <w:start w:val="1"/>
      <w:numFmt w:val="bullet"/>
      <w:lvlText w:val="-"/>
      <w:lvlJc w:val="left"/>
      <w:pPr>
        <w:ind w:left="2382" w:hanging="397"/>
      </w:pPr>
      <w:rPr>
        <w:rFonts w:asciiTheme="minorHAnsi" w:hAnsiTheme="minorHAnsi" w:cs="Times New Roman" w:hint="default"/>
        <w:color w:val="17B7E3" w:themeColor="accent1"/>
      </w:rPr>
    </w:lvl>
    <w:lvl w:ilvl="6">
      <w:start w:val="1"/>
      <w:numFmt w:val="bullet"/>
      <w:lvlText w:val="-"/>
      <w:lvlJc w:val="left"/>
      <w:pPr>
        <w:ind w:left="2779" w:hanging="397"/>
      </w:pPr>
      <w:rPr>
        <w:rFonts w:asciiTheme="minorHAnsi" w:hAnsiTheme="minorHAnsi" w:cs="Times New Roman" w:hint="default"/>
        <w:color w:val="17B7E3" w:themeColor="accent1"/>
      </w:rPr>
    </w:lvl>
    <w:lvl w:ilvl="7">
      <w:start w:val="1"/>
      <w:numFmt w:val="bullet"/>
      <w:lvlText w:val="-"/>
      <w:lvlJc w:val="left"/>
      <w:pPr>
        <w:ind w:left="3176" w:hanging="397"/>
      </w:pPr>
      <w:rPr>
        <w:rFonts w:asciiTheme="minorHAnsi" w:hAnsiTheme="minorHAnsi" w:cs="Times New Roman" w:hint="default"/>
        <w:color w:val="17B7E3" w:themeColor="accent1"/>
      </w:rPr>
    </w:lvl>
    <w:lvl w:ilvl="8">
      <w:start w:val="1"/>
      <w:numFmt w:val="bullet"/>
      <w:lvlText w:val="-"/>
      <w:lvlJc w:val="left"/>
      <w:pPr>
        <w:ind w:left="3573" w:hanging="397"/>
      </w:pPr>
      <w:rPr>
        <w:rFonts w:asciiTheme="minorHAnsi" w:hAnsiTheme="minorHAnsi" w:cs="Times New Roman" w:hint="default"/>
        <w:color w:val="17B7E3" w:themeColor="accent1"/>
      </w:rPr>
    </w:lvl>
  </w:abstractNum>
  <w:abstractNum w:abstractNumId="21" w15:restartNumberingAfterBreak="0">
    <w:nsid w:val="71F81A9B"/>
    <w:multiLevelType w:val="multilevel"/>
    <w:tmpl w:val="68121924"/>
    <w:styleLink w:val="Koppenlijst"/>
    <w:lvl w:ilvl="0">
      <w:start w:val="1"/>
      <w:numFmt w:val="decimal"/>
      <w:pStyle w:val="Heading1"/>
      <w:lvlText w:val="%1."/>
      <w:lvlJc w:val="left"/>
      <w:pPr>
        <w:ind w:left="794" w:hanging="794"/>
      </w:pPr>
      <w:rPr>
        <w:rFonts w:asciiTheme="majorHAnsi" w:hAnsiTheme="majorHAnsi" w:hint="default"/>
      </w:rPr>
    </w:lvl>
    <w:lvl w:ilvl="1">
      <w:start w:val="1"/>
      <w:numFmt w:val="decimal"/>
      <w:pStyle w:val="Heading2"/>
      <w:lvlText w:val="%1.%2"/>
      <w:lvlJc w:val="left"/>
      <w:pPr>
        <w:ind w:left="794" w:hanging="794"/>
      </w:pPr>
      <w:rPr>
        <w:rFonts w:asciiTheme="majorHAnsi" w:hAnsiTheme="majorHAnsi" w:hint="default"/>
      </w:rPr>
    </w:lvl>
    <w:lvl w:ilvl="2">
      <w:start w:val="1"/>
      <w:numFmt w:val="decimal"/>
      <w:pStyle w:val="Heading3"/>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2" w15:restartNumberingAfterBreak="0">
    <w:nsid w:val="73CA6EE5"/>
    <w:multiLevelType w:val="hybridMultilevel"/>
    <w:tmpl w:val="1C10D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F12FDE"/>
    <w:multiLevelType w:val="hybridMultilevel"/>
    <w:tmpl w:val="38706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4227514">
    <w:abstractNumId w:val="7"/>
  </w:num>
  <w:num w:numId="2" w16cid:durableId="1243250502">
    <w:abstractNumId w:val="7"/>
  </w:num>
  <w:num w:numId="3" w16cid:durableId="616104099">
    <w:abstractNumId w:val="3"/>
  </w:num>
  <w:num w:numId="4" w16cid:durableId="557207167">
    <w:abstractNumId w:val="12"/>
  </w:num>
  <w:num w:numId="5" w16cid:durableId="1271474752">
    <w:abstractNumId w:val="11"/>
  </w:num>
  <w:num w:numId="6" w16cid:durableId="185218025">
    <w:abstractNumId w:val="11"/>
  </w:num>
  <w:num w:numId="7" w16cid:durableId="801267783">
    <w:abstractNumId w:val="11"/>
  </w:num>
  <w:num w:numId="8" w16cid:durableId="1096902998">
    <w:abstractNumId w:val="21"/>
  </w:num>
  <w:num w:numId="9" w16cid:durableId="610670841">
    <w:abstractNumId w:val="7"/>
  </w:num>
  <w:num w:numId="10" w16cid:durableId="49766568">
    <w:abstractNumId w:val="12"/>
  </w:num>
  <w:num w:numId="11" w16cid:durableId="20323767">
    <w:abstractNumId w:val="13"/>
  </w:num>
  <w:num w:numId="12" w16cid:durableId="36973620">
    <w:abstractNumId w:val="5"/>
  </w:num>
  <w:num w:numId="13" w16cid:durableId="398480499">
    <w:abstractNumId w:val="24"/>
  </w:num>
  <w:num w:numId="14" w16cid:durableId="80413668">
    <w:abstractNumId w:val="1"/>
  </w:num>
  <w:num w:numId="15" w16cid:durableId="1157040786">
    <w:abstractNumId w:val="10"/>
  </w:num>
  <w:num w:numId="16" w16cid:durableId="19089233">
    <w:abstractNumId w:val="9"/>
  </w:num>
  <w:num w:numId="17" w16cid:durableId="2075929641">
    <w:abstractNumId w:val="16"/>
  </w:num>
  <w:num w:numId="18" w16cid:durableId="86385517">
    <w:abstractNumId w:val="20"/>
  </w:num>
  <w:num w:numId="19" w16cid:durableId="1847593729">
    <w:abstractNumId w:val="19"/>
  </w:num>
  <w:num w:numId="20" w16cid:durableId="655187186">
    <w:abstractNumId w:val="2"/>
  </w:num>
  <w:num w:numId="21" w16cid:durableId="1640110580">
    <w:abstractNumId w:val="5"/>
  </w:num>
  <w:num w:numId="22" w16cid:durableId="1243834434">
    <w:abstractNumId w:val="5"/>
  </w:num>
  <w:num w:numId="23" w16cid:durableId="2143771384">
    <w:abstractNumId w:val="5"/>
  </w:num>
  <w:num w:numId="24" w16cid:durableId="1154373701">
    <w:abstractNumId w:val="5"/>
  </w:num>
  <w:num w:numId="25" w16cid:durableId="1187863309">
    <w:abstractNumId w:val="5"/>
  </w:num>
  <w:num w:numId="26" w16cid:durableId="1180463160">
    <w:abstractNumId w:val="5"/>
  </w:num>
  <w:num w:numId="27" w16cid:durableId="320164492">
    <w:abstractNumId w:val="5"/>
  </w:num>
  <w:num w:numId="28" w16cid:durableId="1236936052">
    <w:abstractNumId w:val="5"/>
  </w:num>
  <w:num w:numId="29" w16cid:durableId="1148405026">
    <w:abstractNumId w:val="7"/>
  </w:num>
  <w:num w:numId="30" w16cid:durableId="1256594194">
    <w:abstractNumId w:val="7"/>
  </w:num>
  <w:num w:numId="31" w16cid:durableId="400954138">
    <w:abstractNumId w:val="5"/>
  </w:num>
  <w:num w:numId="32" w16cid:durableId="1790320125">
    <w:abstractNumId w:val="5"/>
  </w:num>
  <w:num w:numId="33" w16cid:durableId="1431659465">
    <w:abstractNumId w:val="5"/>
  </w:num>
  <w:num w:numId="34" w16cid:durableId="1499494700">
    <w:abstractNumId w:val="5"/>
  </w:num>
  <w:num w:numId="35" w16cid:durableId="1991907037">
    <w:abstractNumId w:val="17"/>
  </w:num>
  <w:num w:numId="36" w16cid:durableId="1660229317">
    <w:abstractNumId w:val="14"/>
  </w:num>
  <w:num w:numId="37" w16cid:durableId="1920677630">
    <w:abstractNumId w:val="23"/>
  </w:num>
  <w:num w:numId="38" w16cid:durableId="90708830">
    <w:abstractNumId w:val="8"/>
  </w:num>
  <w:num w:numId="39" w16cid:durableId="258490765">
    <w:abstractNumId w:val="7"/>
  </w:num>
  <w:num w:numId="40" w16cid:durableId="870462319">
    <w:abstractNumId w:val="22"/>
  </w:num>
  <w:num w:numId="41" w16cid:durableId="1547374612">
    <w:abstractNumId w:val="5"/>
  </w:num>
  <w:num w:numId="42" w16cid:durableId="1628706895">
    <w:abstractNumId w:val="18"/>
  </w:num>
  <w:num w:numId="43" w16cid:durableId="64030957">
    <w:abstractNumId w:val="4"/>
  </w:num>
  <w:num w:numId="44" w16cid:durableId="9643299">
    <w:abstractNumId w:val="6"/>
  </w:num>
  <w:num w:numId="45" w16cid:durableId="1654411392">
    <w:abstractNumId w:val="0"/>
  </w:num>
  <w:num w:numId="46" w16cid:durableId="19313540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FA"/>
    <w:rsid w:val="00013990"/>
    <w:rsid w:val="00026820"/>
    <w:rsid w:val="00027F66"/>
    <w:rsid w:val="000327F0"/>
    <w:rsid w:val="0004480A"/>
    <w:rsid w:val="00047BCE"/>
    <w:rsid w:val="0005570D"/>
    <w:rsid w:val="00067868"/>
    <w:rsid w:val="00073153"/>
    <w:rsid w:val="000C1D84"/>
    <w:rsid w:val="000D0B3D"/>
    <w:rsid w:val="00110854"/>
    <w:rsid w:val="00150B6C"/>
    <w:rsid w:val="00174225"/>
    <w:rsid w:val="00177C12"/>
    <w:rsid w:val="0019678B"/>
    <w:rsid w:val="001D152F"/>
    <w:rsid w:val="001D7237"/>
    <w:rsid w:val="001E6468"/>
    <w:rsid w:val="00221B09"/>
    <w:rsid w:val="00231A28"/>
    <w:rsid w:val="00233F7F"/>
    <w:rsid w:val="002419DA"/>
    <w:rsid w:val="00245C6F"/>
    <w:rsid w:val="002470C8"/>
    <w:rsid w:val="00247596"/>
    <w:rsid w:val="002503B1"/>
    <w:rsid w:val="002614DE"/>
    <w:rsid w:val="00261FF8"/>
    <w:rsid w:val="002623EB"/>
    <w:rsid w:val="00292535"/>
    <w:rsid w:val="002C05B1"/>
    <w:rsid w:val="002C1800"/>
    <w:rsid w:val="002C26C1"/>
    <w:rsid w:val="002F028C"/>
    <w:rsid w:val="002F4714"/>
    <w:rsid w:val="003106F6"/>
    <w:rsid w:val="00315481"/>
    <w:rsid w:val="003205CB"/>
    <w:rsid w:val="00354A63"/>
    <w:rsid w:val="00383CCC"/>
    <w:rsid w:val="003B1310"/>
    <w:rsid w:val="003B3233"/>
    <w:rsid w:val="003B4857"/>
    <w:rsid w:val="003E7D58"/>
    <w:rsid w:val="00427B77"/>
    <w:rsid w:val="00430E6A"/>
    <w:rsid w:val="00450B24"/>
    <w:rsid w:val="00462E14"/>
    <w:rsid w:val="00471148"/>
    <w:rsid w:val="0048059B"/>
    <w:rsid w:val="00480A6C"/>
    <w:rsid w:val="004B204B"/>
    <w:rsid w:val="004B7DA5"/>
    <w:rsid w:val="004D27BF"/>
    <w:rsid w:val="004E4639"/>
    <w:rsid w:val="004F6807"/>
    <w:rsid w:val="00505A92"/>
    <w:rsid w:val="00523EBD"/>
    <w:rsid w:val="005334BE"/>
    <w:rsid w:val="005352F4"/>
    <w:rsid w:val="00537E34"/>
    <w:rsid w:val="00543A1D"/>
    <w:rsid w:val="00544A1E"/>
    <w:rsid w:val="005962BB"/>
    <w:rsid w:val="005B4F41"/>
    <w:rsid w:val="005D5AAC"/>
    <w:rsid w:val="005D5D88"/>
    <w:rsid w:val="005F1140"/>
    <w:rsid w:val="00615147"/>
    <w:rsid w:val="006342F8"/>
    <w:rsid w:val="00636967"/>
    <w:rsid w:val="00651608"/>
    <w:rsid w:val="006A159E"/>
    <w:rsid w:val="006A36A1"/>
    <w:rsid w:val="006B682F"/>
    <w:rsid w:val="006C37D9"/>
    <w:rsid w:val="006C572A"/>
    <w:rsid w:val="006F1C31"/>
    <w:rsid w:val="006F5959"/>
    <w:rsid w:val="00700AD1"/>
    <w:rsid w:val="00701A94"/>
    <w:rsid w:val="00721B60"/>
    <w:rsid w:val="00725A5C"/>
    <w:rsid w:val="00786100"/>
    <w:rsid w:val="007B1205"/>
    <w:rsid w:val="007B63AD"/>
    <w:rsid w:val="007E4C3C"/>
    <w:rsid w:val="0080370F"/>
    <w:rsid w:val="00810CA0"/>
    <w:rsid w:val="00815320"/>
    <w:rsid w:val="00870B68"/>
    <w:rsid w:val="008779D2"/>
    <w:rsid w:val="00894F64"/>
    <w:rsid w:val="008A6A04"/>
    <w:rsid w:val="008C24DF"/>
    <w:rsid w:val="008F5777"/>
    <w:rsid w:val="00901192"/>
    <w:rsid w:val="00902DAF"/>
    <w:rsid w:val="009128CE"/>
    <w:rsid w:val="009166D1"/>
    <w:rsid w:val="00920F6F"/>
    <w:rsid w:val="00961627"/>
    <w:rsid w:val="00961C13"/>
    <w:rsid w:val="00972933"/>
    <w:rsid w:val="009747D6"/>
    <w:rsid w:val="00975D3E"/>
    <w:rsid w:val="009811BB"/>
    <w:rsid w:val="009B0DB1"/>
    <w:rsid w:val="009C3A04"/>
    <w:rsid w:val="009E53D6"/>
    <w:rsid w:val="009F0619"/>
    <w:rsid w:val="00A06C4F"/>
    <w:rsid w:val="00A21DF8"/>
    <w:rsid w:val="00A234FA"/>
    <w:rsid w:val="00A4544F"/>
    <w:rsid w:val="00A5069D"/>
    <w:rsid w:val="00A67620"/>
    <w:rsid w:val="00A9569F"/>
    <w:rsid w:val="00AA025D"/>
    <w:rsid w:val="00AA0CD5"/>
    <w:rsid w:val="00AA57CF"/>
    <w:rsid w:val="00AB3598"/>
    <w:rsid w:val="00AE0DBD"/>
    <w:rsid w:val="00AE64C2"/>
    <w:rsid w:val="00B31997"/>
    <w:rsid w:val="00B50715"/>
    <w:rsid w:val="00B54689"/>
    <w:rsid w:val="00B70F1C"/>
    <w:rsid w:val="00B8016E"/>
    <w:rsid w:val="00BA1D14"/>
    <w:rsid w:val="00BA20E8"/>
    <w:rsid w:val="00BE4D41"/>
    <w:rsid w:val="00BE5D8F"/>
    <w:rsid w:val="00BF0878"/>
    <w:rsid w:val="00C0238D"/>
    <w:rsid w:val="00C03F07"/>
    <w:rsid w:val="00C320AE"/>
    <w:rsid w:val="00C42388"/>
    <w:rsid w:val="00C719A3"/>
    <w:rsid w:val="00C90038"/>
    <w:rsid w:val="00C90720"/>
    <w:rsid w:val="00CA5A02"/>
    <w:rsid w:val="00CC1F2D"/>
    <w:rsid w:val="00CD0194"/>
    <w:rsid w:val="00CD1F13"/>
    <w:rsid w:val="00CD35D9"/>
    <w:rsid w:val="00D16820"/>
    <w:rsid w:val="00D2727C"/>
    <w:rsid w:val="00D416E6"/>
    <w:rsid w:val="00D41F6D"/>
    <w:rsid w:val="00D420A9"/>
    <w:rsid w:val="00D501AA"/>
    <w:rsid w:val="00D51B00"/>
    <w:rsid w:val="00D51CF4"/>
    <w:rsid w:val="00D627B5"/>
    <w:rsid w:val="00D628DB"/>
    <w:rsid w:val="00D80C40"/>
    <w:rsid w:val="00DA313E"/>
    <w:rsid w:val="00DA6A5B"/>
    <w:rsid w:val="00DB12BD"/>
    <w:rsid w:val="00DC13D0"/>
    <w:rsid w:val="00E1516E"/>
    <w:rsid w:val="00E15C48"/>
    <w:rsid w:val="00E21FE9"/>
    <w:rsid w:val="00E24F02"/>
    <w:rsid w:val="00E2661E"/>
    <w:rsid w:val="00E27C72"/>
    <w:rsid w:val="00E319D6"/>
    <w:rsid w:val="00E54CA2"/>
    <w:rsid w:val="00E64330"/>
    <w:rsid w:val="00E64ED4"/>
    <w:rsid w:val="00E6666C"/>
    <w:rsid w:val="00E710F3"/>
    <w:rsid w:val="00E721B9"/>
    <w:rsid w:val="00E97455"/>
    <w:rsid w:val="00ED50B4"/>
    <w:rsid w:val="00EE5329"/>
    <w:rsid w:val="00EE676D"/>
    <w:rsid w:val="00EF1E5D"/>
    <w:rsid w:val="00F12505"/>
    <w:rsid w:val="00F14AAB"/>
    <w:rsid w:val="00F34AB2"/>
    <w:rsid w:val="00F60E53"/>
    <w:rsid w:val="00F95197"/>
    <w:rsid w:val="00FA7B5F"/>
    <w:rsid w:val="00FB35F6"/>
    <w:rsid w:val="00FE0F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0782A"/>
  <w15:chartTrackingRefBased/>
  <w15:docId w15:val="{6EC6CEE1-5867-4E2A-BBC7-6C370508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8"/>
    <w:pPr>
      <w:spacing w:line="270" w:lineRule="atLeast"/>
    </w:pPr>
    <w:rPr>
      <w:sz w:val="21"/>
      <w:lang w:val="fr-FR"/>
    </w:rPr>
  </w:style>
  <w:style w:type="paragraph" w:styleId="Heading1">
    <w:name w:val="heading 1"/>
    <w:aliases w:val="H1"/>
    <w:basedOn w:val="Normal"/>
    <w:next w:val="Normal"/>
    <w:link w:val="Heading1Char"/>
    <w:uiPriority w:val="9"/>
    <w:qFormat/>
    <w:rsid w:val="00901192"/>
    <w:pPr>
      <w:keepNext/>
      <w:keepLines/>
      <w:numPr>
        <w:numId w:val="12"/>
      </w:numPr>
      <w:spacing w:before="270" w:after="270"/>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9"/>
    <w:qFormat/>
    <w:rsid w:val="001E6468"/>
    <w:pPr>
      <w:numPr>
        <w:ilvl w:val="1"/>
      </w:numPr>
      <w:spacing w:after="0"/>
      <w:outlineLvl w:val="1"/>
    </w:pPr>
    <w:rPr>
      <w:sz w:val="24"/>
    </w:rPr>
  </w:style>
  <w:style w:type="paragraph" w:styleId="Heading3">
    <w:name w:val="heading 3"/>
    <w:aliases w:val="H3"/>
    <w:basedOn w:val="Heading1"/>
    <w:next w:val="Normal"/>
    <w:link w:val="Heading3Char"/>
    <w:uiPriority w:val="9"/>
    <w:qFormat/>
    <w:rsid w:val="001E6468"/>
    <w:pPr>
      <w:numPr>
        <w:ilvl w:val="2"/>
      </w:num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3B3233"/>
    <w:pPr>
      <w:numPr>
        <w:numId w:val="10"/>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90119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08FCC"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numPr>
        <w:numId w:val="0"/>
      </w:numPr>
      <w:spacing w:befor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1"/>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BodyText">
    <w:name w:val="Body Text"/>
    <w:basedOn w:val="Normal"/>
    <w:link w:val="BodyTextChar"/>
    <w:uiPriority w:val="1"/>
    <w:rsid w:val="00E319D6"/>
    <w:pPr>
      <w:widowControl w:val="0"/>
      <w:autoSpaceDE w:val="0"/>
      <w:autoSpaceDN w:val="0"/>
      <w:spacing w:line="240" w:lineRule="auto"/>
    </w:pPr>
    <w:rPr>
      <w:rFonts w:ascii="Verdana" w:eastAsia="Verdana" w:hAnsi="Verdana" w:cs="Verdana"/>
      <w:sz w:val="18"/>
      <w:szCs w:val="18"/>
      <w:lang w:val="en-US"/>
    </w:rPr>
  </w:style>
  <w:style w:type="character" w:customStyle="1" w:styleId="BodyTextChar">
    <w:name w:val="Body Text Char"/>
    <w:basedOn w:val="DefaultParagraphFont"/>
    <w:link w:val="BodyText"/>
    <w:uiPriority w:val="1"/>
    <w:rsid w:val="00E319D6"/>
    <w:rPr>
      <w:rFonts w:ascii="Verdana" w:eastAsia="Verdana" w:hAnsi="Verdana" w:cs="Verdana"/>
      <w:sz w:val="18"/>
      <w:szCs w:val="18"/>
      <w:lang w:val="en-US"/>
    </w:rPr>
  </w:style>
  <w:style w:type="character" w:styleId="CommentReference">
    <w:name w:val="annotation reference"/>
    <w:basedOn w:val="DefaultParagraphFont"/>
    <w:uiPriority w:val="99"/>
    <w:semiHidden/>
    <w:unhideWhenUsed/>
    <w:rsid w:val="00E319D6"/>
    <w:rPr>
      <w:sz w:val="16"/>
      <w:szCs w:val="16"/>
    </w:rPr>
  </w:style>
  <w:style w:type="paragraph" w:styleId="CommentText">
    <w:name w:val="annotation text"/>
    <w:basedOn w:val="Normal"/>
    <w:link w:val="CommentTextChar"/>
    <w:unhideWhenUsed/>
    <w:rsid w:val="00E319D6"/>
    <w:pPr>
      <w:spacing w:line="240" w:lineRule="auto"/>
    </w:pPr>
    <w:rPr>
      <w:sz w:val="20"/>
    </w:rPr>
  </w:style>
  <w:style w:type="character" w:customStyle="1" w:styleId="CommentTextChar">
    <w:name w:val="Comment Text Char"/>
    <w:basedOn w:val="DefaultParagraphFont"/>
    <w:link w:val="CommentText"/>
    <w:rsid w:val="00E319D6"/>
    <w:rPr>
      <w:lang w:val="en-GB"/>
    </w:rPr>
  </w:style>
  <w:style w:type="paragraph" w:styleId="Revision">
    <w:name w:val="Revision"/>
    <w:hidden/>
    <w:uiPriority w:val="99"/>
    <w:semiHidden/>
    <w:rsid w:val="00247596"/>
    <w:pPr>
      <w:spacing w:line="240" w:lineRule="auto"/>
    </w:pPr>
    <w:rPr>
      <w:sz w:val="21"/>
      <w:lang w:val="en-GB"/>
    </w:rPr>
  </w:style>
  <w:style w:type="paragraph" w:styleId="CommentSubject">
    <w:name w:val="annotation subject"/>
    <w:basedOn w:val="CommentText"/>
    <w:next w:val="CommentText"/>
    <w:link w:val="CommentSubjectChar"/>
    <w:uiPriority w:val="99"/>
    <w:semiHidden/>
    <w:unhideWhenUsed/>
    <w:rsid w:val="00B8016E"/>
    <w:rPr>
      <w:b/>
      <w:bCs/>
    </w:rPr>
  </w:style>
  <w:style w:type="character" w:customStyle="1" w:styleId="CommentSubjectChar">
    <w:name w:val="Comment Subject Char"/>
    <w:basedOn w:val="CommentTextChar"/>
    <w:link w:val="CommentSubject"/>
    <w:uiPriority w:val="99"/>
    <w:semiHidden/>
    <w:rsid w:val="00B8016E"/>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liprocurement@snv.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334\OneDrive%20-%20SNV\Branding\1.%20New%20Brand%20Identity\Assets\Corporate%20Assets\7_MS%20Office%20Templates\Templates%20for%20Units\Sample%20ToR%20(General)_NEW-DESKTOP-ILR89PV.dotx" TargetMode="External"/></Relationships>
</file>

<file path=word/theme/theme1.xml><?xml version="1.0" encoding="utf-8"?>
<a:theme xmlns:a="http://schemas.openxmlformats.org/drawingml/2006/main" name="Kantoorthema">
  <a:themeElements>
    <a:clrScheme name="SNVWord">
      <a:dk1>
        <a:srgbClr val="000000"/>
      </a:dk1>
      <a:lt1>
        <a:srgbClr val="FFFFFF"/>
      </a:lt1>
      <a:dk2>
        <a:srgbClr val="375380"/>
      </a:dk2>
      <a:lt2>
        <a:srgbClr val="EFF8FE"/>
      </a:lt2>
      <a:accent1>
        <a:srgbClr val="17B7E3"/>
      </a:accent1>
      <a:accent2>
        <a:srgbClr val="008FCC"/>
      </a:accent2>
      <a:accent3>
        <a:srgbClr val="FFCC66"/>
      </a:accent3>
      <a:accent4>
        <a:srgbClr val="E8777B"/>
      </a:accent4>
      <a:accent5>
        <a:srgbClr val="97C9AA"/>
      </a:accent5>
      <a:accent6>
        <a:srgbClr val="F6E8D7"/>
      </a:accent6>
      <a:hlink>
        <a:srgbClr val="008FCC"/>
      </a:hlink>
      <a:folHlink>
        <a:srgbClr val="008FCC"/>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d7329dd-438a-4558-bb02-8c32828ba005" ContentTypeId="0x0101" PreviousValue="false" LastSyncTimeStamp="2015-08-26T14:02:58.683Z"/>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559a29-f47b-4d0f-93ca-3dd7412fc4ff">
      <Terms xmlns="http://schemas.microsoft.com/office/infopath/2007/PartnerControls"/>
    </lcf76f155ced4ddcb4097134ff3c332f>
    <PublishedtoOurSNV xmlns="da559a29-f47b-4d0f-93ca-3dd7412fc4ff">
      <Url>https://snvworld.sharepoint.com/teams/help/SitePages/Publish-to-Our-SNV.aspx</Url>
      <Description>Started...</Description>
    </PublishedtoOurSNV>
    <V xmlns="DA559A29-F47B-4D0F-93CA-3DD7412FC4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F9C9E9C8798D4A80ED5983FDC414CD" ma:contentTypeVersion="17" ma:contentTypeDescription="Create a new document." ma:contentTypeScope="" ma:versionID="3ede58cb5a4e2fe3d8e3933355183ae1">
  <xsd:schema xmlns:xsd="http://www.w3.org/2001/XMLSchema" xmlns:xs="http://www.w3.org/2001/XMLSchema" xmlns:p="http://schemas.microsoft.com/office/2006/metadata/properties" xmlns:ns2="DA559A29-F47B-4D0F-93CA-3DD7412FC4FF" xmlns:ns3="a5c2c39b-8897-425e-ba59-b5d83516c153" xmlns:ns4="e2bb2ff1-b8e3-4b76-a98c-a2d65bad2e5f" xmlns:ns5="da559a29-f47b-4d0f-93ca-3dd7412fc4ff" targetNamespace="http://schemas.microsoft.com/office/2006/metadata/properties" ma:root="true" ma:fieldsID="01395fc8d310eba2c27a641a546bbe95" ns2:_="" ns3:_="" ns4:_="" ns5:_="">
    <xsd:import namespace="DA559A29-F47B-4D0F-93CA-3DD7412FC4FF"/>
    <xsd:import namespace="a5c2c39b-8897-425e-ba59-b5d83516c153"/>
    <xsd:import namespace="e2bb2ff1-b8e3-4b76-a98c-a2d65bad2e5f"/>
    <xsd:import namespace="da559a29-f47b-4d0f-93ca-3dd7412fc4ff"/>
    <xsd:element name="properties">
      <xsd:complexType>
        <xsd:sequence>
          <xsd:element name="documentManagement">
            <xsd:complexType>
              <xsd:all>
                <xsd:element ref="ns2:V" minOccurs="0"/>
                <xsd:element ref="ns3:SharedWithUsers" minOccurs="0"/>
                <xsd:element ref="ns4:SharingHintHash" minOccurs="0"/>
                <xsd:element ref="ns5:PublishedtoOurSNV" minOccurs="0"/>
                <xsd:element ref="ns5:MediaServiceMetadata" minOccurs="0"/>
                <xsd:element ref="ns5:MediaServiceFastMetadata" minOccurs="0"/>
                <xsd:element ref="ns5:MediaServiceAutoKeyPoints" minOccurs="0"/>
                <xsd:element ref="ns5:MediaServiceKeyPoint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3:SharedWithDetails" minOccurs="0"/>
                <xsd:element ref="ns5:lcf76f155ced4ddcb4097134ff3c332f" minOccurs="0"/>
                <xsd:element ref="ns5:MediaServiceLocation"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59A29-F47B-4D0F-93CA-3DD7412FC4FF" elementFormDefault="qualified">
    <xsd:import namespace="http://schemas.microsoft.com/office/2006/documentManagement/types"/>
    <xsd:import namespace="http://schemas.microsoft.com/office/infopath/2007/PartnerControls"/>
    <xsd:element name="V" ma:index="8" nillable="true" ma:displayName="V" ma:internalName="V">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a5c2c39b-8897-425e-ba59-b5d83516c1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bb2ff1-b8e3-4b76-a98c-a2d65bad2e5f" elementFormDefault="qualified">
    <xsd:import namespace="http://schemas.microsoft.com/office/2006/documentManagement/types"/>
    <xsd:import namespace="http://schemas.microsoft.com/office/infopath/2007/PartnerControls"/>
    <xsd:element name="SharingHintHash" ma:index="11"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59a29-f47b-4d0f-93ca-3dd7412fc4ff" elementFormDefault="qualified">
    <xsd:import namespace="http://schemas.microsoft.com/office/2006/documentManagement/types"/>
    <xsd:import namespace="http://schemas.microsoft.com/office/infopath/2007/PartnerControls"/>
    <xsd:element name="PublishedtoOurSNV" ma:index="12" nillable="true" ma:displayName="Published to Our SNV" ma:internalName="PublishedtoOurSNV">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A2324-6E57-4A9F-A15A-1D93A59555F9}">
  <ds:schemaRefs>
    <ds:schemaRef ds:uri="Microsoft.SharePoint.Taxonomy.ContentTypeSync"/>
  </ds:schemaRefs>
</ds:datastoreItem>
</file>

<file path=customXml/itemProps2.xml><?xml version="1.0" encoding="utf-8"?>
<ds:datastoreItem xmlns:ds="http://schemas.openxmlformats.org/officeDocument/2006/customXml" ds:itemID="{DF54ACDE-5D45-478B-801E-C818605CB5C2}">
  <ds:schemaRefs>
    <ds:schemaRef ds:uri="http://schemas.microsoft.com/office/2006/metadata/properties"/>
    <ds:schemaRef ds:uri="http://schemas.microsoft.com/office/infopath/2007/PartnerControls"/>
    <ds:schemaRef ds:uri="da559a29-f47b-4d0f-93ca-3dd7412fc4ff"/>
    <ds:schemaRef ds:uri="DA559A29-F47B-4D0F-93CA-3DD7412FC4FF"/>
  </ds:schemaRefs>
</ds:datastoreItem>
</file>

<file path=customXml/itemProps3.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4.xml><?xml version="1.0" encoding="utf-8"?>
<ds:datastoreItem xmlns:ds="http://schemas.openxmlformats.org/officeDocument/2006/customXml" ds:itemID="{9D8A0CE6-1FF9-4DDE-AA07-EC4B1FFC7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59A29-F47B-4D0F-93CA-3DD7412FC4FF"/>
    <ds:schemaRef ds:uri="a5c2c39b-8897-425e-ba59-b5d83516c153"/>
    <ds:schemaRef ds:uri="e2bb2ff1-b8e3-4b76-a98c-a2d65bad2e5f"/>
    <ds:schemaRef ds:uri="da559a29-f47b-4d0f-93ca-3dd7412fc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02F2DB-EC0D-4A01-864B-820B1B172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Sample ToR (General)_NEW-DESKTOP-ILR89PV</Template>
  <TotalTime>2</TotalTime>
  <Pages>5</Pages>
  <Words>1310</Words>
  <Characters>7211</Characters>
  <Application>Microsoft Office Word</Application>
  <DocSecurity>0</DocSecurity>
  <Lines>60</Lines>
  <Paragraphs>17</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Koppen</vt:lpstr>
      </vt:variant>
      <vt:variant>
        <vt:i4>4</vt:i4>
      </vt:variant>
    </vt:vector>
  </HeadingPairs>
  <TitlesOfParts>
    <vt:vector size="7" baseType="lpstr">
      <vt:lpstr>General Terms of Reference Template</vt:lpstr>
      <vt:lpstr>General Terms of Reference Template</vt:lpstr>
      <vt:lpstr/>
      <vt:lpstr>Heading:H1 (Vraag, moet een hoofdstuk boven aan op een nieuwe pagina beginnen of</vt:lpstr>
      <vt:lpstr>    Sub heading:H2</vt:lpstr>
      <vt:lpstr>        Sub sub heading</vt:lpstr>
      <vt:lpstr>Unnumbered heading:UL1</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of Reference Template</dc:title>
  <dc:subject/>
  <dc:creator>Schulte, Judith</dc:creator>
  <cp:keywords/>
  <dc:description>Template by HQ Solutions</dc:description>
  <cp:lastModifiedBy>Keïta, René</cp:lastModifiedBy>
  <cp:revision>2</cp:revision>
  <dcterms:created xsi:type="dcterms:W3CDTF">2026-02-04T08:14:00Z</dcterms:created>
  <dcterms:modified xsi:type="dcterms:W3CDTF">2026-02-04T08:14:00Z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0x0101003FF9C9E9C8798D4A80ED5983FDC414CD</vt:lpwstr>
  </property>
  <property fmtid="{D5CDD505-2E9C-101B-9397-08002B2CF9AE}" pid="4" name="MediaServiceImageTags">
    <vt:lpwstr/>
  </property>
  <property fmtid="{D5CDD505-2E9C-101B-9397-08002B2CF9AE}" pid="5" name="PublishedtoOurSNV">
    <vt:lpwstr>https://snvworld.sharepoint.com/teams/help/SitePages/Publish-to-Our-SNV.aspx, Started...</vt:lpwstr>
  </property>
  <property fmtid="{D5CDD505-2E9C-101B-9397-08002B2CF9AE}" pid="6" name="Procedure">
    <vt:lpwstr/>
  </property>
  <property fmtid="{D5CDD505-2E9C-101B-9397-08002B2CF9AE}" pid="7" name="fa9eb757bb26455fa833eacb309c3afd">
    <vt:lpwstr/>
  </property>
  <property fmtid="{D5CDD505-2E9C-101B-9397-08002B2CF9AE}" pid="8" name="Policy_x002d_area">
    <vt:lpwstr/>
  </property>
  <property fmtid="{D5CDD505-2E9C-101B-9397-08002B2CF9AE}" pid="9" name="OrgUnit">
    <vt:lpwstr>21;#Marketing ＆ BD|b171bc62-36ea-4145-902a-b9a4f959198b</vt:lpwstr>
  </property>
  <property fmtid="{D5CDD505-2E9C-101B-9397-08002B2CF9AE}" pid="10" name="Action">
    <vt:lpwstr>Approve/Change</vt:lpwstr>
  </property>
  <property fmtid="{D5CDD505-2E9C-101B-9397-08002B2CF9AE}" pid="11" name="Country">
    <vt:lpwstr>51;#BF|f3f5adc4-e6f6-490b-8dbb-71de1f84a9ed</vt:lpwstr>
  </property>
  <property fmtid="{D5CDD505-2E9C-101B-9397-08002B2CF9AE}" pid="12" name="n73fe00915e047b9b000031da954def1">
    <vt:lpwstr/>
  </property>
  <property fmtid="{D5CDD505-2E9C-101B-9397-08002B2CF9AE}" pid="13" name="Topics">
    <vt:lpwstr/>
  </property>
  <property fmtid="{D5CDD505-2E9C-101B-9397-08002B2CF9AE}" pid="14" name="i2803edeca134f31a13fdb8b3b4be34d">
    <vt:lpwstr>BF|f3f5adc4-e6f6-490b-8dbb-71de1f84a9ed</vt:lpwstr>
  </property>
  <property fmtid="{D5CDD505-2E9C-101B-9397-08002B2CF9AE}" pid="15" name="Policy-area">
    <vt:lpwstr/>
  </property>
  <property fmtid="{D5CDD505-2E9C-101B-9397-08002B2CF9AE}" pid="16" name="PublishedFrom">
    <vt:lpwstr>/teams/comms/Corporate/2. Live - Final assets/Templates/Sample ToR (General).docx</vt:lpwstr>
  </property>
  <property fmtid="{D5CDD505-2E9C-101B-9397-08002B2CF9AE}" pid="17" name="PublishedBy">
    <vt:lpwstr>3410</vt:lpwstr>
  </property>
  <property fmtid="{D5CDD505-2E9C-101B-9397-08002B2CF9AE}" pid="18" name="Approval">
    <vt:lpwstr>https://snvworld.sharepoint.com/teams/comms/_layouts/15/wrkstat.aspx?List=c6b5491d-bf62-4a68-a1d9-157ba19596e6&amp;WorkflowInstanceName=06fbcf0e-09c6-4b13-a026-6c7f881acb69, WF Details</vt:lpwstr>
  </property>
  <property fmtid="{D5CDD505-2E9C-101B-9397-08002B2CF9AE}" pid="19" name="docLang">
    <vt:lpwstr>en</vt:lpwstr>
  </property>
  <property fmtid="{D5CDD505-2E9C-101B-9397-08002B2CF9AE}" pid="20" name="Donor">
    <vt:lpwstr>The Netherlands Enterprise Agency (RVO)</vt:lpwstr>
  </property>
  <property fmtid="{D5CDD505-2E9C-101B-9397-08002B2CF9AE}" pid="21" name="Salesforce">
    <vt:lpwstr>PRM00006606</vt:lpwstr>
  </property>
  <property fmtid="{D5CDD505-2E9C-101B-9397-08002B2CF9AE}" pid="22" name="Sectors">
    <vt:lpwstr>14;#Energy|b78bf13b-2a8c-405f-bcb8-8c4610a3557c</vt:lpwstr>
  </property>
  <property fmtid="{D5CDD505-2E9C-101B-9397-08002B2CF9AE}" pid="23" name="fa69a92cb9994491b72a498ca451dde7">
    <vt:lpwstr>Energy|b78bf13b-2a8c-405f-bcb8-8c4610a3557c</vt:lpwstr>
  </property>
  <property fmtid="{D5CDD505-2E9C-101B-9397-08002B2CF9AE}" pid="24" name="TaxCatchAll">
    <vt:lpwstr>14;#Energy|b78bf13b-2a8c-405f-bcb8-8c4610a3557c;#51;#BF|f3f5adc4-e6f6-490b-8dbb-71de1f84a9ed</vt:lpwstr>
  </property>
</Properties>
</file>