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B993" w14:textId="3C87C75A" w:rsidR="00793EF7" w:rsidRDefault="00AD564E">
      <w:pPr>
        <w:spacing w:after="60"/>
        <w:jc w:val="center"/>
      </w:pPr>
      <w:r>
        <w:rPr>
          <w:b/>
          <w:color w:val="1F4E79"/>
          <w:sz w:val="36"/>
        </w:rPr>
        <w:t>TERMS OF REFERENCE</w:t>
      </w:r>
    </w:p>
    <w:p w14:paraId="3F213749" w14:textId="77777777" w:rsidR="00793EF7" w:rsidRDefault="00AD564E">
      <w:pPr>
        <w:spacing w:after="80"/>
        <w:jc w:val="center"/>
      </w:pPr>
      <w:r>
        <w:rPr>
          <w:b/>
          <w:sz w:val="26"/>
        </w:rPr>
        <w:t>Consultancy for ESG, GESI, Environmental Hazards and Safety, Biodiversity &amp; Climate Adaptation, Supply Chain Management and Energy Audit</w:t>
      </w:r>
    </w:p>
    <w:p w14:paraId="7852C129" w14:textId="5BC5FE27" w:rsidR="00793EF7" w:rsidRPr="00C3191A" w:rsidRDefault="00AD564E">
      <w:pPr>
        <w:spacing w:after="160"/>
        <w:jc w:val="center"/>
        <w:rPr>
          <w:b/>
          <w:bCs/>
        </w:rPr>
      </w:pPr>
      <w:r w:rsidRPr="00C3191A">
        <w:rPr>
          <w:b/>
          <w:bCs/>
          <w:sz w:val="21"/>
        </w:rPr>
        <w:t>Client: Nile Fresh Produce International Limited (NFP)</w:t>
      </w:r>
      <w:r w:rsidRPr="00C3191A">
        <w:rPr>
          <w:b/>
          <w:bCs/>
          <w:sz w:val="21"/>
        </w:rPr>
        <w:br/>
        <w:t>Facility: Dutch Fund for Climate and Development - Origination Facility (DFCD-OF)</w:t>
      </w:r>
      <w:r w:rsidRPr="00C3191A">
        <w:rPr>
          <w:b/>
          <w:bCs/>
          <w:sz w:val="21"/>
        </w:rPr>
        <w:br/>
      </w:r>
    </w:p>
    <w:p w14:paraId="5371BEEA" w14:textId="77777777" w:rsidR="00793EF7" w:rsidRDefault="00AD564E">
      <w:pPr>
        <w:pStyle w:val="Heading1"/>
      </w:pPr>
      <w:r>
        <w:t>1. Background and Rationale</w:t>
      </w:r>
    </w:p>
    <w:p w14:paraId="4DB5F1D2" w14:textId="77777777" w:rsidR="00793EF7" w:rsidRDefault="00AD564E" w:rsidP="00FD55F9">
      <w:pPr>
        <w:spacing w:after="100"/>
        <w:jc w:val="both"/>
      </w:pPr>
      <w:r>
        <w:t>Nile Fresh Produce International Limited (NFP) is an integrated agribusiness operating across Northern and Eastern Uganda in primary production, aggregation, first-level processing and trading of cereals, legumes and oilseeds through nucleus farms, regional facilities and an extensive outgrower network.</w:t>
      </w:r>
    </w:p>
    <w:p w14:paraId="580AE4D2" w14:textId="77777777" w:rsidR="00793EF7" w:rsidRDefault="00AD564E" w:rsidP="00FD55F9">
      <w:pPr>
        <w:spacing w:after="100"/>
        <w:jc w:val="both"/>
      </w:pPr>
      <w:r>
        <w:t>NFP is seeking long-term financing from FMO, with participation from the Dutch Fund for Climate and Development (DFCD), to expand its climate-smart agriculture model, strengthen working capital, invest in mechanization and internal processing capacity, and deepen its support to smallholder farmers.</w:t>
      </w:r>
    </w:p>
    <w:p w14:paraId="34F93CD5" w14:textId="28A502BA" w:rsidR="00793EF7" w:rsidRDefault="00AD564E" w:rsidP="00FD55F9">
      <w:pPr>
        <w:spacing w:after="100"/>
        <w:jc w:val="both"/>
      </w:pPr>
      <w:r>
        <w:t>Under the DFCD Origination Facility, Milestone 3.0 requires targeted technical assistance on ESG and GESI covering: (i) ES</w:t>
      </w:r>
      <w:r w:rsidR="00FD55F9">
        <w:t>MS</w:t>
      </w:r>
      <w:r>
        <w:t xml:space="preserve"> </w:t>
      </w:r>
      <w:r w:rsidR="00FD55F9">
        <w:t>development</w:t>
      </w:r>
      <w:r>
        <w:t xml:space="preserve">, (ii) </w:t>
      </w:r>
      <w:r w:rsidR="00FD55F9">
        <w:t>OHS risk and audit</w:t>
      </w:r>
      <w:r>
        <w:t xml:space="preserve">, (iii) GESI assessment, (iv) biodiversity and climate </w:t>
      </w:r>
      <w:r w:rsidR="00FD55F9">
        <w:t>risk vulnerability</w:t>
      </w:r>
      <w:r>
        <w:t xml:space="preserve"> assessment, and (v) supply chain management. Milestone 4.0 requires an energy audit focused on energy efficiency, cost savings and avoidance of carbon emissions</w:t>
      </w:r>
      <w:r w:rsidR="00FD55F9">
        <w:t xml:space="preserve"> across NFP’s operations</w:t>
      </w:r>
      <w:r>
        <w:t>.</w:t>
      </w:r>
    </w:p>
    <w:p w14:paraId="589F8A79" w14:textId="4127102F" w:rsidR="00793EF7" w:rsidRDefault="00AD564E" w:rsidP="00FD55F9">
      <w:pPr>
        <w:spacing w:after="100"/>
        <w:jc w:val="both"/>
      </w:pPr>
      <w:r>
        <w:t xml:space="preserve">The assignment </w:t>
      </w:r>
      <w:proofErr w:type="gramStart"/>
      <w:r>
        <w:t>shall</w:t>
      </w:r>
      <w:proofErr w:type="gramEnd"/>
      <w:r>
        <w:t xml:space="preserve"> therefore update and </w:t>
      </w:r>
      <w:proofErr w:type="spellStart"/>
      <w:r>
        <w:t>operationalise</w:t>
      </w:r>
      <w:proofErr w:type="spellEnd"/>
      <w:r>
        <w:t xml:space="preserve"> NFP's </w:t>
      </w:r>
      <w:r w:rsidR="00FD55F9">
        <w:t xml:space="preserve">E&amp;S </w:t>
      </w:r>
      <w:r>
        <w:t xml:space="preserve">systems, procedures and </w:t>
      </w:r>
      <w:r w:rsidR="00FD55F9">
        <w:t xml:space="preserve">Energy </w:t>
      </w:r>
      <w:r>
        <w:t>management tools in a manner consistent with the commitments set out in the DFCD Investment Committee Assessment Form and the technical assistance grant arrangement, while supporting NFP's investment readiness.</w:t>
      </w:r>
    </w:p>
    <w:p w14:paraId="7B902EA7" w14:textId="77777777" w:rsidR="00793EF7" w:rsidRDefault="00AD564E">
      <w:pPr>
        <w:pStyle w:val="Heading1"/>
      </w:pPr>
      <w:r>
        <w:t>2. Objective of the Assignment</w:t>
      </w:r>
    </w:p>
    <w:p w14:paraId="655AAFAE" w14:textId="77777777" w:rsidR="00793EF7" w:rsidRDefault="00AD564E">
      <w:pPr>
        <w:pStyle w:val="Heading2"/>
      </w:pPr>
      <w:r>
        <w:t>2.1 Overall Objective</w:t>
      </w:r>
    </w:p>
    <w:p w14:paraId="63129F85" w14:textId="77777777" w:rsidR="00793EF7" w:rsidRDefault="00AD564E">
      <w:pPr>
        <w:spacing w:after="100"/>
      </w:pPr>
      <w:r>
        <w:t>To strengthen NFP's environmental, social, governance, gender inclusion, occupational safety, biodiversity, climate adaptation, supply chain and energy management systems in line with IFC Performance Standards, DFCD/FMO requirements and applicable Ugandan laws, thereby improving investment readiness and implementation capacity.</w:t>
      </w:r>
    </w:p>
    <w:p w14:paraId="5C7E8E14" w14:textId="77777777" w:rsidR="00793EF7" w:rsidRDefault="00AD564E">
      <w:pPr>
        <w:pStyle w:val="Heading2"/>
      </w:pPr>
      <w:r>
        <w:t>2.2 Specific Objectives</w:t>
      </w:r>
    </w:p>
    <w:p w14:paraId="7E1D6A28" w14:textId="300142B8" w:rsidR="00793EF7" w:rsidRDefault="00AD564E">
      <w:pPr>
        <w:pStyle w:val="ListBullet"/>
        <w:spacing w:after="40"/>
      </w:pPr>
      <w:r>
        <w:t xml:space="preserve">Assess compliance with relevant IFC Performance Standards and identify material gaps, risks and corrective measures needed to </w:t>
      </w:r>
      <w:r w:rsidR="003A198C">
        <w:t>develop</w:t>
      </w:r>
      <w:r>
        <w:t xml:space="preserve"> NFP's ESMS and associated </w:t>
      </w:r>
      <w:r w:rsidR="00010407">
        <w:t xml:space="preserve">ESG </w:t>
      </w:r>
      <w:r>
        <w:t>governance arrangements.</w:t>
      </w:r>
    </w:p>
    <w:p w14:paraId="497E7904" w14:textId="77777777" w:rsidR="00793EF7" w:rsidRDefault="00AD564E">
      <w:pPr>
        <w:pStyle w:val="ListBullet"/>
        <w:spacing w:after="40"/>
      </w:pPr>
      <w:r>
        <w:t>Assess Board and management structures and recommend practical governance improvements, including roles, reporting lines, KPIs, annual targets, review meetings and indicative implementation budgets.</w:t>
      </w:r>
    </w:p>
    <w:p w14:paraId="13F56B4B" w14:textId="77777777" w:rsidR="00793EF7" w:rsidRDefault="00AD564E">
      <w:pPr>
        <w:pStyle w:val="ListBullet"/>
        <w:spacing w:after="40"/>
      </w:pPr>
      <w:r>
        <w:t>Assess existing internal and external grievance mechanisms and stakeholder engagement processes and strengthen them for workers, farmers, communities and vulnerable groups.</w:t>
      </w:r>
    </w:p>
    <w:p w14:paraId="4921D1BF" w14:textId="77777777" w:rsidR="00793EF7" w:rsidRDefault="00AD564E">
      <w:pPr>
        <w:pStyle w:val="ListBullet"/>
        <w:spacing w:after="40"/>
      </w:pPr>
      <w:r>
        <w:t>Assess environmental hazards and safety management in current facilities and operations, with explicit attention to pesticide storage, handling, use, disposal and any needed phase-out requirements.</w:t>
      </w:r>
    </w:p>
    <w:p w14:paraId="31785A63" w14:textId="77777777" w:rsidR="00793EF7" w:rsidRDefault="00AD564E">
      <w:pPr>
        <w:pStyle w:val="ListBullet"/>
        <w:spacing w:after="40"/>
      </w:pPr>
      <w:r>
        <w:t>Undertake a GESI assessment and develop a practical GESI operational plan, including measures on workforce diversity, recruitment, retention, leadership, inclusion, and grievance handling.</w:t>
      </w:r>
    </w:p>
    <w:p w14:paraId="7130652C" w14:textId="77777777" w:rsidR="00793EF7" w:rsidRDefault="00AD564E">
      <w:pPr>
        <w:pStyle w:val="ListBullet"/>
        <w:spacing w:after="40"/>
      </w:pPr>
      <w:r>
        <w:t>Assess biodiversity, ecosystem-service dependencies and climate risks, including the need for a biodiversity assessment and climate risk and vulnerability assessment (CRVA) for proposed avocado production sites, and prepare a Rio Marker 2 justification aligned with DFCD objectives.</w:t>
      </w:r>
    </w:p>
    <w:p w14:paraId="68A647B0" w14:textId="77777777" w:rsidR="00793EF7" w:rsidRDefault="00AD564E">
      <w:pPr>
        <w:pStyle w:val="ListBullet"/>
        <w:spacing w:after="40"/>
      </w:pPr>
      <w:r>
        <w:lastRenderedPageBreak/>
        <w:t>Develop a supplier code of conduct and associated supply chain management process addressing IFC PS2 and PS6 requirements, including screening tools, monitoring processes and contract clauses.</w:t>
      </w:r>
    </w:p>
    <w:p w14:paraId="4E190AC5" w14:textId="77777777" w:rsidR="00793EF7" w:rsidRDefault="00AD564E">
      <w:pPr>
        <w:pStyle w:val="ListBullet"/>
        <w:spacing w:after="40"/>
      </w:pPr>
      <w:r>
        <w:t>Conduct an energy audit of existing and planned facilities and recommend energy-efficiency, cost-saving and carbon-emission avoidance measures.</w:t>
      </w:r>
    </w:p>
    <w:p w14:paraId="31BF0D9F" w14:textId="77777777" w:rsidR="00793EF7" w:rsidRDefault="00AD564E">
      <w:pPr>
        <w:pStyle w:val="Heading1"/>
      </w:pPr>
      <w:r>
        <w:t>3. Scope of Work</w:t>
      </w:r>
    </w:p>
    <w:p w14:paraId="097A4F60" w14:textId="68B3FB8B" w:rsidR="00793EF7" w:rsidRDefault="00AD564E">
      <w:pPr>
        <w:spacing w:after="120"/>
      </w:pPr>
      <w:r>
        <w:t xml:space="preserve">The consultant shall undertake the assignment through the six workstreams below, which correspond directly to the approved </w:t>
      </w:r>
      <w:r w:rsidR="00051663">
        <w:t xml:space="preserve">DFCD-OF Technical Assistance </w:t>
      </w:r>
      <w:r>
        <w:t>Milestones.</w:t>
      </w:r>
    </w:p>
    <w:p w14:paraId="3443DBB6" w14:textId="77777777" w:rsidR="00793EF7" w:rsidRDefault="00AD564E">
      <w:pPr>
        <w:pStyle w:val="Heading2"/>
      </w:pPr>
      <w:r>
        <w:t>3.1 ESG Assessment</w:t>
      </w:r>
    </w:p>
    <w:p w14:paraId="2A5093AF" w14:textId="74C9DB49" w:rsidR="00793EF7" w:rsidRDefault="00AD564E">
      <w:pPr>
        <w:pStyle w:val="ListBullet"/>
        <w:spacing w:after="40"/>
      </w:pPr>
      <w:r>
        <w:t xml:space="preserve">Review existing E&amp;S, HR, governance and operational documentation, including </w:t>
      </w:r>
      <w:r w:rsidR="00010407">
        <w:t xml:space="preserve">developing an IFC compliant </w:t>
      </w:r>
      <w:r>
        <w:t>ESMS, policies, procedures, registers, grievance channels and monitoring tools.</w:t>
      </w:r>
    </w:p>
    <w:p w14:paraId="703E6DBF" w14:textId="77777777" w:rsidR="00793EF7" w:rsidRDefault="00AD564E">
      <w:pPr>
        <w:pStyle w:val="ListBullet"/>
        <w:spacing w:after="40"/>
      </w:pPr>
      <w:r>
        <w:t>Assess NFP's compliance with applicable IFC Performance Standards - at minimum PS1, PS2, PS3, PS4 and PS6 - and relevant national legal and regulatory requirements.</w:t>
      </w:r>
    </w:p>
    <w:p w14:paraId="26053C0A" w14:textId="77777777" w:rsidR="00793EF7" w:rsidRDefault="00AD564E">
      <w:pPr>
        <w:pStyle w:val="ListBullet"/>
        <w:spacing w:after="40"/>
      </w:pPr>
      <w:r>
        <w:t>Undertake an ESG gap assessment covering governance, labour and working conditions, stakeholder engagement, community health and safety, resource efficiency, biodiversity interface, contractor management and operational controls.</w:t>
      </w:r>
    </w:p>
    <w:p w14:paraId="31DD04A8" w14:textId="241D3E30" w:rsidR="00793EF7" w:rsidRDefault="00AD564E">
      <w:pPr>
        <w:pStyle w:val="ListBullet"/>
        <w:spacing w:after="40"/>
      </w:pPr>
      <w:r>
        <w:t xml:space="preserve">Assess Board and management structures and recommend best-practice </w:t>
      </w:r>
      <w:r w:rsidR="00010407">
        <w:t xml:space="preserve">E&amp;S </w:t>
      </w:r>
      <w:r>
        <w:t>governance arrangements proportionate to NFP's scale and financing pathway, including oversight responsibilities, committee structures, escalation routes and management accountability.</w:t>
      </w:r>
    </w:p>
    <w:p w14:paraId="07085D47" w14:textId="77777777" w:rsidR="00793EF7" w:rsidRDefault="00AD564E">
      <w:pPr>
        <w:pStyle w:val="ListBullet"/>
        <w:spacing w:after="40"/>
      </w:pPr>
      <w:r>
        <w:t>Develop an ESG governance framework with measurable KPIs, annual targets, monthly reporting templates to senior management, and an implementation calendar for periodic management review meetings.</w:t>
      </w:r>
    </w:p>
    <w:p w14:paraId="66EF21C4" w14:textId="77777777" w:rsidR="00793EF7" w:rsidRDefault="00AD564E">
      <w:pPr>
        <w:pStyle w:val="ListBullet"/>
        <w:spacing w:after="40"/>
      </w:pPr>
      <w:r>
        <w:t>Prepare a costed Environmental and Social Action Plan (ESAP) or equivalent improvement matrix identifying actions, responsibilities, timelines, priority levels and indicative budget allocations required to strengthen E&amp;S management practice and capacity.</w:t>
      </w:r>
    </w:p>
    <w:p w14:paraId="7EEF4626" w14:textId="77777777" w:rsidR="00793EF7" w:rsidRDefault="00AD564E">
      <w:pPr>
        <w:pStyle w:val="Heading2"/>
      </w:pPr>
      <w:r>
        <w:t>3.2 Environmental Hazards and Safety Compliances</w:t>
      </w:r>
    </w:p>
    <w:p w14:paraId="3C6319DD" w14:textId="77777777" w:rsidR="00793EF7" w:rsidRDefault="00AD564E">
      <w:pPr>
        <w:pStyle w:val="ListBullet"/>
        <w:spacing w:after="40"/>
      </w:pPr>
      <w:r>
        <w:t>Assess current environmental hazards management and occupational health and safety practices across representative farms, warehouses, offices, logistics nodes and current processing or storage areas.</w:t>
      </w:r>
    </w:p>
    <w:p w14:paraId="40E40914" w14:textId="77777777" w:rsidR="00793EF7" w:rsidRDefault="00AD564E">
      <w:pPr>
        <w:pStyle w:val="ListBullet"/>
        <w:spacing w:after="40"/>
      </w:pPr>
      <w:r>
        <w:t>Review hazardous materials management with particular emphasis on pesticides and agrochemicals, including procurement, approved product lists, storage conditions, handling, application practices, transport, spill response, disposal and record keeping.</w:t>
      </w:r>
    </w:p>
    <w:p w14:paraId="073D1D49" w14:textId="77777777" w:rsidR="00793EF7" w:rsidRDefault="00AD564E">
      <w:pPr>
        <w:pStyle w:val="ListBullet"/>
        <w:spacing w:after="40"/>
      </w:pPr>
      <w:r>
        <w:t>Identify any pesticides or practices requiring restriction, substitution or phase-</w:t>
      </w:r>
      <w:proofErr w:type="gramStart"/>
      <w:r>
        <w:t>out</w:t>
      </w:r>
      <w:proofErr w:type="gramEnd"/>
      <w:r>
        <w:t xml:space="preserve"> and propose a practical phase-out and transition plan where needed.</w:t>
      </w:r>
    </w:p>
    <w:p w14:paraId="4E9924E7" w14:textId="77777777" w:rsidR="00793EF7" w:rsidRDefault="00AD564E">
      <w:pPr>
        <w:pStyle w:val="ListBullet"/>
        <w:spacing w:after="40"/>
      </w:pPr>
      <w:r>
        <w:t>Assess worker safety arrangements, emergency preparedness, incident reporting, PPE adequacy, sanitation, fire safety, machinery safety, traffic management and contractor controls.</w:t>
      </w:r>
    </w:p>
    <w:p w14:paraId="64299246" w14:textId="77777777" w:rsidR="00793EF7" w:rsidRDefault="00AD564E">
      <w:pPr>
        <w:pStyle w:val="ListBullet"/>
        <w:spacing w:after="40"/>
      </w:pPr>
      <w:r>
        <w:t>Prepare facility-specific or function-specific safety protocols and an appropriate safety layout / improvement plan for implementation, including signage, storage zoning, segregation requirements and minimum control measures.</w:t>
      </w:r>
    </w:p>
    <w:p w14:paraId="29DD77E6" w14:textId="77777777" w:rsidR="00793EF7" w:rsidRDefault="00AD564E">
      <w:pPr>
        <w:pStyle w:val="ListBullet"/>
        <w:spacing w:after="40"/>
      </w:pPr>
      <w:r>
        <w:t>Develop or refine OHS procedures, toolbox-training topics and a prioritized hazards mitigation action plan.</w:t>
      </w:r>
    </w:p>
    <w:p w14:paraId="304D7EAF" w14:textId="77777777" w:rsidR="00793EF7" w:rsidRDefault="00AD564E">
      <w:pPr>
        <w:pStyle w:val="Heading2"/>
      </w:pPr>
      <w:r>
        <w:t>3.3 GESI Assessment</w:t>
      </w:r>
    </w:p>
    <w:p w14:paraId="2801C808" w14:textId="77777777" w:rsidR="00793EF7" w:rsidRDefault="00AD564E">
      <w:pPr>
        <w:pStyle w:val="ListBullet"/>
        <w:spacing w:after="40"/>
      </w:pPr>
      <w:r>
        <w:t>Assess NFP's compliance with IFC Performance Standards from a gender and social inclusion perspective, with specific attention to labour practices, community interfaces, worker and farmer access to grievance channels, and protection of vulnerable groups.</w:t>
      </w:r>
    </w:p>
    <w:p w14:paraId="6763A72E" w14:textId="77777777" w:rsidR="00793EF7" w:rsidRDefault="00AD564E">
      <w:pPr>
        <w:pStyle w:val="ListBullet"/>
        <w:spacing w:after="40"/>
      </w:pPr>
      <w:r>
        <w:t>Analyse gender and inclusion gaps in governance, management, staffing, Village Agent arrangements, field operations and farmer-facing business processes, using sex-, age- and vulnerability-disaggregated data where available.</w:t>
      </w:r>
    </w:p>
    <w:p w14:paraId="75118C77" w14:textId="77777777" w:rsidR="00793EF7" w:rsidRDefault="00AD564E">
      <w:pPr>
        <w:pStyle w:val="ListBullet"/>
        <w:spacing w:after="40"/>
      </w:pPr>
      <w:r>
        <w:lastRenderedPageBreak/>
        <w:t>Identify barriers affecting women's participation, youth inclusion, retention, progression, leadership opportunities, access to services and safe participation in the value chain.</w:t>
      </w:r>
    </w:p>
    <w:p w14:paraId="3D469BA1" w14:textId="77777777" w:rsidR="00793EF7" w:rsidRDefault="00AD564E">
      <w:pPr>
        <w:pStyle w:val="ListBullet"/>
        <w:spacing w:after="40"/>
      </w:pPr>
      <w:r>
        <w:t>Prepare a practical GESI operational plan with objectives, actions, responsibilities, indicators, timelines and indicative budget, covering policy strengthening, staff sensitization, recruitment and retention measures, inclusive communication and monitoring.</w:t>
      </w:r>
    </w:p>
    <w:p w14:paraId="58CD46A1" w14:textId="77777777" w:rsidR="00793EF7" w:rsidRDefault="00AD564E">
      <w:pPr>
        <w:pStyle w:val="ListBullet"/>
        <w:spacing w:after="40"/>
      </w:pPr>
      <w:r>
        <w:t>Recommend measures for staff recruitment, retention and advancement, including actions to strengthen representation, safe working conditions, prevention of discrimination and harassment, and meaningful inclusion of women and vulnerable groups.</w:t>
      </w:r>
    </w:p>
    <w:p w14:paraId="561B71D8" w14:textId="77777777" w:rsidR="00793EF7" w:rsidRDefault="00AD564E">
      <w:pPr>
        <w:pStyle w:val="ListBullet"/>
        <w:spacing w:after="40"/>
      </w:pPr>
      <w:r>
        <w:t>Design or strengthen GESI-responsive grievance procedures, including clear referral pathways, confidentiality safeguards and survivor-centred handling of SEA/SH or GBV-related complaints.</w:t>
      </w:r>
    </w:p>
    <w:p w14:paraId="75EB3FC3" w14:textId="77777777" w:rsidR="00793EF7" w:rsidRDefault="00AD564E">
      <w:pPr>
        <w:pStyle w:val="Heading2"/>
      </w:pPr>
      <w:r>
        <w:t>3.4 Biodiversity &amp; Climate Change Adaptation Assessment</w:t>
      </w:r>
    </w:p>
    <w:p w14:paraId="5CFA02F1" w14:textId="77777777" w:rsidR="00793EF7" w:rsidRDefault="00AD564E">
      <w:pPr>
        <w:pStyle w:val="ListBullet"/>
        <w:spacing w:after="40"/>
      </w:pPr>
      <w:r>
        <w:t>Assess compliance with IFC Performance Standards relevant to biodiversity, ecosystem services and climate resilience, including screening against PS6 risk considerations for existing and planned production areas.</w:t>
      </w:r>
    </w:p>
    <w:p w14:paraId="7E4FAEFD" w14:textId="77777777" w:rsidR="00793EF7" w:rsidRDefault="00AD564E">
      <w:pPr>
        <w:pStyle w:val="ListBullet"/>
        <w:spacing w:after="40"/>
      </w:pPr>
      <w:r>
        <w:t>Undertake a high-level biodiversity assessment and determine the scope of any further biodiversity work required at investment stage, including for proposed avocado production sites and associated infrastructure.</w:t>
      </w:r>
    </w:p>
    <w:p w14:paraId="51F91F23" w14:textId="4C404017" w:rsidR="00793EF7" w:rsidRDefault="00AD564E">
      <w:pPr>
        <w:pStyle w:val="ListBullet"/>
        <w:spacing w:after="40"/>
      </w:pPr>
      <w:r>
        <w:t xml:space="preserve">Undertake </w:t>
      </w:r>
      <w:proofErr w:type="gramStart"/>
      <w:r>
        <w:t>a climate</w:t>
      </w:r>
      <w:proofErr w:type="gramEnd"/>
      <w:r>
        <w:t xml:space="preserve"> risk and vulnerability assessment (CRVA) or CRVA-light covering current and planned operations, key commodities</w:t>
      </w:r>
      <w:r w:rsidR="00010407">
        <w:t xml:space="preserve"> and </w:t>
      </w:r>
      <w:proofErr w:type="spellStart"/>
      <w:r>
        <w:t>outgrower</w:t>
      </w:r>
      <w:proofErr w:type="spellEnd"/>
      <w:r>
        <w:t xml:space="preserve"> geographies.</w:t>
      </w:r>
    </w:p>
    <w:p w14:paraId="5D2C6C09" w14:textId="77777777" w:rsidR="00793EF7" w:rsidRDefault="00AD564E">
      <w:pPr>
        <w:pStyle w:val="ListBullet"/>
        <w:spacing w:after="40"/>
      </w:pPr>
      <w:r>
        <w:t xml:space="preserve">Identify climate hazards, ecosystem dependencies, land-use pressures and biodiversity risks relevant to NFP's operations and supply </w:t>
      </w:r>
      <w:proofErr w:type="gramStart"/>
      <w:r>
        <w:t>base, and</w:t>
      </w:r>
      <w:proofErr w:type="gramEnd"/>
      <w:r>
        <w:t xml:space="preserve"> define practical adaptation and mitigation measures.</w:t>
      </w:r>
    </w:p>
    <w:p w14:paraId="0C398BCF" w14:textId="77777777" w:rsidR="00793EF7" w:rsidRDefault="00AD564E">
      <w:pPr>
        <w:pStyle w:val="ListBullet"/>
        <w:spacing w:after="40"/>
      </w:pPr>
      <w:r>
        <w:t>Assess alignment with DFCD climate adaptation objectives and prepare a concise Rio Marker 2 justification note explaining the adaptation rationale and materiality of the proposed interventions.</w:t>
      </w:r>
    </w:p>
    <w:p w14:paraId="16B54551" w14:textId="22DF94C3" w:rsidR="00793EF7" w:rsidRDefault="00AD564E">
      <w:pPr>
        <w:pStyle w:val="ListBullet"/>
        <w:spacing w:after="40"/>
      </w:pPr>
      <w:r>
        <w:t xml:space="preserve">Recommend actions to integrate biodiversity management and climate adaptation into operational planning, </w:t>
      </w:r>
      <w:proofErr w:type="gramStart"/>
      <w:r>
        <w:t>farmer</w:t>
      </w:r>
      <w:proofErr w:type="gramEnd"/>
      <w:r>
        <w:t xml:space="preserve"> support services, monitoring systems and </w:t>
      </w:r>
      <w:proofErr w:type="gramStart"/>
      <w:r>
        <w:t>the ES</w:t>
      </w:r>
      <w:r w:rsidR="00010407">
        <w:t>MS</w:t>
      </w:r>
      <w:proofErr w:type="gramEnd"/>
      <w:r>
        <w:t>.</w:t>
      </w:r>
    </w:p>
    <w:p w14:paraId="4330E1FB" w14:textId="77777777" w:rsidR="00793EF7" w:rsidRDefault="00AD564E">
      <w:pPr>
        <w:pStyle w:val="Heading2"/>
      </w:pPr>
      <w:r>
        <w:t>3.5 Supply Chain Management</w:t>
      </w:r>
    </w:p>
    <w:p w14:paraId="455A44CE" w14:textId="77777777" w:rsidR="00793EF7" w:rsidRDefault="00AD564E">
      <w:pPr>
        <w:pStyle w:val="ListBullet"/>
        <w:spacing w:after="40"/>
      </w:pPr>
      <w:r>
        <w:t>Map the core supply chain and identify ESG, labour, land-use, biodiversity and farmer-related risk hotspots relevant to NFP's sourcing and supplier relationships.</w:t>
      </w:r>
    </w:p>
    <w:p w14:paraId="330E7EE2" w14:textId="77777777" w:rsidR="00793EF7" w:rsidRDefault="00AD564E">
      <w:pPr>
        <w:pStyle w:val="ListBullet"/>
        <w:spacing w:after="40"/>
      </w:pPr>
      <w:r>
        <w:t>Develop a Supplier Code of Conduct and associated management process addressing IFC PS2 and PS6 requirements, as well as practical expectations on labour standards, health and safety, pesticide management, land rights, environmental practices and grievance handling.</w:t>
      </w:r>
    </w:p>
    <w:p w14:paraId="4E267B18" w14:textId="77777777" w:rsidR="00793EF7" w:rsidRDefault="00AD564E">
      <w:pPr>
        <w:pStyle w:val="ListBullet"/>
        <w:spacing w:after="40"/>
      </w:pPr>
      <w:r>
        <w:t>Design a risk-based process for supplier and aggregator screening, onboarding, performance monitoring, corrective action management and escalation.</w:t>
      </w:r>
    </w:p>
    <w:p w14:paraId="354D1D23" w14:textId="77777777" w:rsidR="00793EF7" w:rsidRDefault="00AD564E">
      <w:pPr>
        <w:pStyle w:val="ListBullet"/>
        <w:spacing w:after="40"/>
      </w:pPr>
      <w:r>
        <w:t>Draft or refine supplier contract clauses and template undertakings for inclusion in supplier, service provider and relevant contractor agreements.</w:t>
      </w:r>
    </w:p>
    <w:p w14:paraId="6A63A440" w14:textId="77777777" w:rsidR="00793EF7" w:rsidRDefault="00AD564E">
      <w:pPr>
        <w:pStyle w:val="ListBullet"/>
        <w:spacing w:after="40"/>
      </w:pPr>
      <w:r>
        <w:t>Recommend a practical implementation roadmap, including internal ownership, training needs, supplier communication materials and monitoring indicators.</w:t>
      </w:r>
    </w:p>
    <w:p w14:paraId="0BA1119B" w14:textId="77777777" w:rsidR="00793EF7" w:rsidRDefault="00AD564E">
      <w:pPr>
        <w:pStyle w:val="Heading2"/>
      </w:pPr>
      <w:r>
        <w:t>4.1 Conduct Energy Audits for Energy Saving and Evidence of Carbon Emissions</w:t>
      </w:r>
    </w:p>
    <w:p w14:paraId="3D2D1F6E" w14:textId="77777777" w:rsidR="00793EF7" w:rsidRDefault="00AD564E">
      <w:pPr>
        <w:pStyle w:val="ListBullet"/>
        <w:spacing w:after="40"/>
      </w:pPr>
      <w:r>
        <w:t>Assess current energy use across NFP's facilities and operations, including warehouses, offices and other relevant operational sites, and establish the major energy-consuming systems and practices.</w:t>
      </w:r>
    </w:p>
    <w:p w14:paraId="071B9AAD" w14:textId="77777777" w:rsidR="00793EF7" w:rsidRDefault="00AD564E">
      <w:pPr>
        <w:pStyle w:val="ListBullet"/>
        <w:spacing w:after="40"/>
      </w:pPr>
      <w:r>
        <w:t>Assess the planned energy-use profile of new processing and storage facilities, including likely loads, process requirements, technology options and operational assumptions.</w:t>
      </w:r>
    </w:p>
    <w:p w14:paraId="49099EE9" w14:textId="77777777" w:rsidR="00793EF7" w:rsidRDefault="00AD564E">
      <w:pPr>
        <w:pStyle w:val="ListBullet"/>
        <w:spacing w:after="40"/>
      </w:pPr>
      <w:r>
        <w:t>Identify opportunities for energy efficiency, improved operations, equipment optimization, renewable-energy integration where feasible, and energy cost-saving measures.</w:t>
      </w:r>
    </w:p>
    <w:p w14:paraId="1122361A" w14:textId="77777777" w:rsidR="00793EF7" w:rsidRDefault="00AD564E">
      <w:pPr>
        <w:pStyle w:val="ListBullet"/>
        <w:spacing w:after="40"/>
      </w:pPr>
      <w:r>
        <w:t>Estimate the baseline energy implications and indicate how recommended measures can contribute to avoidance or reduction of carbon emissions.</w:t>
      </w:r>
    </w:p>
    <w:p w14:paraId="688234AC" w14:textId="4576624F" w:rsidR="00793EF7" w:rsidRDefault="00AD564E">
      <w:pPr>
        <w:pStyle w:val="ListBullet"/>
        <w:spacing w:after="40"/>
      </w:pPr>
      <w:r>
        <w:lastRenderedPageBreak/>
        <w:t>Prepare a practical energy audit</w:t>
      </w:r>
      <w:r w:rsidR="00C32D9D">
        <w:t xml:space="preserve"> </w:t>
      </w:r>
      <w:r>
        <w:t xml:space="preserve">report </w:t>
      </w:r>
      <w:r w:rsidR="00C32D9D">
        <w:t>inclusive of an Energy Efficiency Action Plan with</w:t>
      </w:r>
      <w:r>
        <w:t xml:space="preserve"> prioritized recommendations, indicative savings potential, implementation considerations and management actions needed for adoption of efficient technologies.</w:t>
      </w:r>
    </w:p>
    <w:p w14:paraId="662B9149" w14:textId="77777777" w:rsidR="00793EF7" w:rsidRDefault="00AD564E">
      <w:pPr>
        <w:pStyle w:val="Heading1"/>
      </w:pPr>
      <w:r>
        <w:t>4. Methodology</w:t>
      </w:r>
    </w:p>
    <w:p w14:paraId="30717F74" w14:textId="77777777" w:rsidR="00793EF7" w:rsidRDefault="00AD564E">
      <w:pPr>
        <w:pStyle w:val="ListBullet"/>
        <w:spacing w:after="40"/>
      </w:pPr>
      <w:r>
        <w:t>Desk review of relevant company documents, policies, contracts, layouts, operational records, existing studies, audit reports and monitoring data.</w:t>
      </w:r>
    </w:p>
    <w:p w14:paraId="0D334821" w14:textId="77777777" w:rsidR="00793EF7" w:rsidRDefault="00AD564E">
      <w:pPr>
        <w:pStyle w:val="ListBullet"/>
        <w:spacing w:after="40"/>
      </w:pPr>
      <w:r>
        <w:t>Interviews with NFP Board and management representatives, operational staff, relevant technical personnel, and DFCD/FMO/SNV focal persons as appropriate.</w:t>
      </w:r>
    </w:p>
    <w:p w14:paraId="0362DC4E" w14:textId="77777777" w:rsidR="00793EF7" w:rsidRDefault="00AD564E">
      <w:pPr>
        <w:pStyle w:val="ListBullet"/>
        <w:spacing w:after="40"/>
      </w:pPr>
      <w:r>
        <w:t>Field visits to a representative sample of facilities, farms, farmer aggregation points and other relevant operating sites.</w:t>
      </w:r>
    </w:p>
    <w:p w14:paraId="02AA464D" w14:textId="77777777" w:rsidR="00793EF7" w:rsidRDefault="00AD564E">
      <w:pPr>
        <w:pStyle w:val="ListBullet"/>
        <w:spacing w:after="40"/>
      </w:pPr>
      <w:r>
        <w:t>Focused consultations with workers, Village Agents, farmers and community stakeholders, using a do-no-harm and inclusive engagement approach.</w:t>
      </w:r>
    </w:p>
    <w:p w14:paraId="5957A0A8" w14:textId="77777777" w:rsidR="00793EF7" w:rsidRDefault="00AD564E">
      <w:pPr>
        <w:pStyle w:val="ListBullet"/>
        <w:spacing w:after="40"/>
      </w:pPr>
      <w:r>
        <w:t>Benchmarking against IFC Performance Standards, relevant EHS Guidelines, DFCD/FMO requirements and applicable Ugandan legislation.</w:t>
      </w:r>
    </w:p>
    <w:p w14:paraId="11BB3F14" w14:textId="77777777" w:rsidR="00793EF7" w:rsidRDefault="00AD564E">
      <w:pPr>
        <w:pStyle w:val="ListBullet"/>
        <w:spacing w:after="40"/>
      </w:pPr>
      <w:r>
        <w:t>Validation of findings with NFP prior to finalization of the key assessment reports and action plans.</w:t>
      </w:r>
    </w:p>
    <w:p w14:paraId="576F97EA" w14:textId="77777777" w:rsidR="00793EF7" w:rsidRDefault="00AD564E">
      <w:pPr>
        <w:pStyle w:val="Heading1"/>
      </w:pPr>
      <w:r>
        <w:t>5. Key Deliverables</w:t>
      </w:r>
    </w:p>
    <w:tbl>
      <w:tblPr>
        <w:tblW w:w="10104" w:type="dxa"/>
        <w:jc w:val="center"/>
        <w:tblLayout w:type="fixed"/>
        <w:tblLook w:val="04A0" w:firstRow="1" w:lastRow="0" w:firstColumn="1" w:lastColumn="0" w:noHBand="0" w:noVBand="1"/>
      </w:tblPr>
      <w:tblGrid>
        <w:gridCol w:w="990"/>
        <w:gridCol w:w="3813"/>
        <w:gridCol w:w="5301"/>
      </w:tblGrid>
      <w:tr w:rsidR="00793EF7" w14:paraId="0EAB2643" w14:textId="77777777" w:rsidTr="004F1049">
        <w:trPr>
          <w:tblHeader/>
          <w:jc w:val="center"/>
        </w:trPr>
        <w:tc>
          <w:tcPr>
            <w:tcW w:w="990" w:type="dxa"/>
            <w:shd w:val="clear" w:color="auto" w:fill="1F4E79"/>
            <w:tcMar>
              <w:top w:w="80" w:type="dxa"/>
              <w:left w:w="100" w:type="dxa"/>
              <w:bottom w:w="80" w:type="dxa"/>
              <w:right w:w="100" w:type="dxa"/>
            </w:tcMar>
            <w:vAlign w:val="center"/>
          </w:tcPr>
          <w:p w14:paraId="6F23C7F1" w14:textId="77777777" w:rsidR="00793EF7" w:rsidRDefault="00AD564E">
            <w:r>
              <w:rPr>
                <w:b/>
                <w:color w:val="FFFFFF"/>
                <w:sz w:val="19"/>
              </w:rPr>
              <w:t>No.</w:t>
            </w:r>
          </w:p>
        </w:tc>
        <w:tc>
          <w:tcPr>
            <w:tcW w:w="3813" w:type="dxa"/>
            <w:shd w:val="clear" w:color="auto" w:fill="1F4E79"/>
            <w:tcMar>
              <w:top w:w="80" w:type="dxa"/>
              <w:left w:w="100" w:type="dxa"/>
              <w:bottom w:w="80" w:type="dxa"/>
              <w:right w:w="100" w:type="dxa"/>
            </w:tcMar>
            <w:vAlign w:val="center"/>
          </w:tcPr>
          <w:p w14:paraId="4ABA63E2" w14:textId="77777777" w:rsidR="00793EF7" w:rsidRDefault="00AD564E">
            <w:r>
              <w:rPr>
                <w:b/>
                <w:color w:val="FFFFFF"/>
                <w:sz w:val="19"/>
              </w:rPr>
              <w:t>Deliverable</w:t>
            </w:r>
          </w:p>
        </w:tc>
        <w:tc>
          <w:tcPr>
            <w:tcW w:w="5301" w:type="dxa"/>
            <w:shd w:val="clear" w:color="auto" w:fill="1F4E79"/>
            <w:tcMar>
              <w:top w:w="80" w:type="dxa"/>
              <w:left w:w="100" w:type="dxa"/>
              <w:bottom w:w="80" w:type="dxa"/>
              <w:right w:w="100" w:type="dxa"/>
            </w:tcMar>
            <w:vAlign w:val="center"/>
          </w:tcPr>
          <w:p w14:paraId="6B96AE57" w14:textId="77777777" w:rsidR="00793EF7" w:rsidRDefault="00AD564E">
            <w:r>
              <w:rPr>
                <w:b/>
                <w:color w:val="FFFFFF"/>
                <w:sz w:val="19"/>
              </w:rPr>
              <w:t>Minimum Content</w:t>
            </w:r>
          </w:p>
        </w:tc>
      </w:tr>
      <w:tr w:rsidR="00793EF7" w14:paraId="7C896F45" w14:textId="77777777" w:rsidTr="004F1049">
        <w:trPr>
          <w:jc w:val="center"/>
        </w:trPr>
        <w:tc>
          <w:tcPr>
            <w:tcW w:w="990" w:type="dxa"/>
            <w:shd w:val="clear" w:color="auto" w:fill="FFFFFF"/>
            <w:tcMar>
              <w:top w:w="80" w:type="dxa"/>
              <w:left w:w="100" w:type="dxa"/>
              <w:bottom w:w="80" w:type="dxa"/>
              <w:right w:w="100" w:type="dxa"/>
            </w:tcMar>
            <w:vAlign w:val="center"/>
          </w:tcPr>
          <w:p w14:paraId="56E7861F" w14:textId="77777777" w:rsidR="00793EF7" w:rsidRDefault="00AD564E">
            <w:r>
              <w:rPr>
                <w:sz w:val="18"/>
              </w:rPr>
              <w:t>1</w:t>
            </w:r>
          </w:p>
        </w:tc>
        <w:tc>
          <w:tcPr>
            <w:tcW w:w="3813" w:type="dxa"/>
            <w:shd w:val="clear" w:color="auto" w:fill="FFFFFF"/>
            <w:tcMar>
              <w:top w:w="80" w:type="dxa"/>
              <w:left w:w="100" w:type="dxa"/>
              <w:bottom w:w="80" w:type="dxa"/>
              <w:right w:w="100" w:type="dxa"/>
            </w:tcMar>
            <w:vAlign w:val="center"/>
          </w:tcPr>
          <w:p w14:paraId="0B112C6E" w14:textId="77777777" w:rsidR="00793EF7" w:rsidRDefault="00AD564E">
            <w:r>
              <w:rPr>
                <w:sz w:val="18"/>
              </w:rPr>
              <w:t>Inception Report</w:t>
            </w:r>
          </w:p>
        </w:tc>
        <w:tc>
          <w:tcPr>
            <w:tcW w:w="5301" w:type="dxa"/>
            <w:shd w:val="clear" w:color="auto" w:fill="FFFFFF"/>
            <w:tcMar>
              <w:top w:w="80" w:type="dxa"/>
              <w:left w:w="100" w:type="dxa"/>
              <w:bottom w:w="80" w:type="dxa"/>
              <w:right w:w="100" w:type="dxa"/>
            </w:tcMar>
            <w:vAlign w:val="center"/>
          </w:tcPr>
          <w:p w14:paraId="2CE23148" w14:textId="77777777" w:rsidR="00793EF7" w:rsidRDefault="00AD564E">
            <w:r>
              <w:rPr>
                <w:sz w:val="18"/>
              </w:rPr>
              <w:t>Refined methodology, workplan, site-visit plan, stakeholder list, data needs and reporting outline.</w:t>
            </w:r>
          </w:p>
        </w:tc>
      </w:tr>
      <w:tr w:rsidR="00793EF7" w14:paraId="7633386F" w14:textId="77777777" w:rsidTr="004F1049">
        <w:trPr>
          <w:jc w:val="center"/>
        </w:trPr>
        <w:tc>
          <w:tcPr>
            <w:tcW w:w="990" w:type="dxa"/>
            <w:shd w:val="clear" w:color="auto" w:fill="F8FBFD"/>
            <w:tcMar>
              <w:top w:w="80" w:type="dxa"/>
              <w:left w:w="100" w:type="dxa"/>
              <w:bottom w:w="80" w:type="dxa"/>
              <w:right w:w="100" w:type="dxa"/>
            </w:tcMar>
            <w:vAlign w:val="center"/>
          </w:tcPr>
          <w:p w14:paraId="3F7E9B49" w14:textId="77777777" w:rsidR="00793EF7" w:rsidRDefault="00AD564E">
            <w:r>
              <w:rPr>
                <w:sz w:val="18"/>
              </w:rPr>
              <w:t>2</w:t>
            </w:r>
          </w:p>
        </w:tc>
        <w:tc>
          <w:tcPr>
            <w:tcW w:w="3813" w:type="dxa"/>
            <w:shd w:val="clear" w:color="auto" w:fill="F8FBFD"/>
            <w:tcMar>
              <w:top w:w="80" w:type="dxa"/>
              <w:left w:w="100" w:type="dxa"/>
              <w:bottom w:w="80" w:type="dxa"/>
              <w:right w:w="100" w:type="dxa"/>
            </w:tcMar>
            <w:vAlign w:val="center"/>
          </w:tcPr>
          <w:p w14:paraId="771804AD" w14:textId="67C808D9" w:rsidR="00793EF7" w:rsidRDefault="00AD564E">
            <w:r>
              <w:rPr>
                <w:sz w:val="18"/>
              </w:rPr>
              <w:t xml:space="preserve">ESG Assessment Report and </w:t>
            </w:r>
            <w:r w:rsidR="00C32D9D">
              <w:rPr>
                <w:sz w:val="18"/>
              </w:rPr>
              <w:t>ESMS</w:t>
            </w:r>
          </w:p>
        </w:tc>
        <w:tc>
          <w:tcPr>
            <w:tcW w:w="5301" w:type="dxa"/>
            <w:shd w:val="clear" w:color="auto" w:fill="F8FBFD"/>
            <w:tcMar>
              <w:top w:w="80" w:type="dxa"/>
              <w:left w:w="100" w:type="dxa"/>
              <w:bottom w:w="80" w:type="dxa"/>
              <w:right w:w="100" w:type="dxa"/>
            </w:tcMar>
            <w:vAlign w:val="center"/>
          </w:tcPr>
          <w:p w14:paraId="6F7853C9" w14:textId="49DE16F6" w:rsidR="00793EF7" w:rsidRDefault="00AD564E">
            <w:r>
              <w:rPr>
                <w:sz w:val="18"/>
              </w:rPr>
              <w:t>IFC PS gap assessment, governance findings, ESG KPIs, annual targets, monthly reporting format, management review arrangements and prioritized costed actions.</w:t>
            </w:r>
            <w:r w:rsidR="004F1049">
              <w:rPr>
                <w:sz w:val="18"/>
              </w:rPr>
              <w:t xml:space="preserve"> </w:t>
            </w:r>
            <w:r w:rsidR="00C32D9D">
              <w:rPr>
                <w:sz w:val="18"/>
              </w:rPr>
              <w:t>Fully developed ESMS</w:t>
            </w:r>
            <w:r w:rsidR="004F1049">
              <w:rPr>
                <w:sz w:val="18"/>
              </w:rPr>
              <w:t xml:space="preserve"> and supporting policies and procedures.</w:t>
            </w:r>
          </w:p>
        </w:tc>
      </w:tr>
      <w:tr w:rsidR="00793EF7" w14:paraId="2B09806F" w14:textId="77777777" w:rsidTr="004F1049">
        <w:trPr>
          <w:jc w:val="center"/>
        </w:trPr>
        <w:tc>
          <w:tcPr>
            <w:tcW w:w="990" w:type="dxa"/>
            <w:shd w:val="clear" w:color="auto" w:fill="FFFFFF"/>
            <w:tcMar>
              <w:top w:w="80" w:type="dxa"/>
              <w:left w:w="100" w:type="dxa"/>
              <w:bottom w:w="80" w:type="dxa"/>
              <w:right w:w="100" w:type="dxa"/>
            </w:tcMar>
            <w:vAlign w:val="center"/>
          </w:tcPr>
          <w:p w14:paraId="2608E240" w14:textId="77777777" w:rsidR="00793EF7" w:rsidRDefault="00AD564E">
            <w:r>
              <w:rPr>
                <w:sz w:val="18"/>
              </w:rPr>
              <w:t>3</w:t>
            </w:r>
          </w:p>
        </w:tc>
        <w:tc>
          <w:tcPr>
            <w:tcW w:w="3813" w:type="dxa"/>
            <w:shd w:val="clear" w:color="auto" w:fill="FFFFFF"/>
            <w:tcMar>
              <w:top w:w="80" w:type="dxa"/>
              <w:left w:w="100" w:type="dxa"/>
              <w:bottom w:w="80" w:type="dxa"/>
              <w:right w:w="100" w:type="dxa"/>
            </w:tcMar>
            <w:vAlign w:val="center"/>
          </w:tcPr>
          <w:p w14:paraId="3DDC88B1" w14:textId="77777777" w:rsidR="00793EF7" w:rsidRDefault="00AD564E">
            <w:r>
              <w:rPr>
                <w:sz w:val="18"/>
              </w:rPr>
              <w:t>Environmental Hazards and Safety Report</w:t>
            </w:r>
          </w:p>
        </w:tc>
        <w:tc>
          <w:tcPr>
            <w:tcW w:w="5301" w:type="dxa"/>
            <w:shd w:val="clear" w:color="auto" w:fill="FFFFFF"/>
            <w:tcMar>
              <w:top w:w="80" w:type="dxa"/>
              <w:left w:w="100" w:type="dxa"/>
              <w:bottom w:w="80" w:type="dxa"/>
              <w:right w:w="100" w:type="dxa"/>
            </w:tcMar>
            <w:vAlign w:val="center"/>
          </w:tcPr>
          <w:p w14:paraId="5074C72A" w14:textId="10DE6631" w:rsidR="00793EF7" w:rsidRDefault="00AD564E">
            <w:r>
              <w:rPr>
                <w:sz w:val="18"/>
              </w:rPr>
              <w:t xml:space="preserve">Environmental hazards and OHS </w:t>
            </w:r>
            <w:r w:rsidR="004F1049">
              <w:rPr>
                <w:sz w:val="18"/>
              </w:rPr>
              <w:t xml:space="preserve">audit </w:t>
            </w:r>
            <w:r>
              <w:rPr>
                <w:sz w:val="18"/>
              </w:rPr>
              <w:t>findings, pesticide / agrochemical management review, phase-out actions where required, safety protocol and layout improvement plan.</w:t>
            </w:r>
            <w:r w:rsidR="004F1049">
              <w:rPr>
                <w:sz w:val="18"/>
              </w:rPr>
              <w:t xml:space="preserve"> Updated EHS policy and procedures developed for NFP</w:t>
            </w:r>
          </w:p>
        </w:tc>
      </w:tr>
      <w:tr w:rsidR="00793EF7" w14:paraId="1BBA488D" w14:textId="77777777" w:rsidTr="004F1049">
        <w:trPr>
          <w:jc w:val="center"/>
        </w:trPr>
        <w:tc>
          <w:tcPr>
            <w:tcW w:w="990" w:type="dxa"/>
            <w:shd w:val="clear" w:color="auto" w:fill="F8FBFD"/>
            <w:tcMar>
              <w:top w:w="80" w:type="dxa"/>
              <w:left w:w="100" w:type="dxa"/>
              <w:bottom w:w="80" w:type="dxa"/>
              <w:right w:w="100" w:type="dxa"/>
            </w:tcMar>
            <w:vAlign w:val="center"/>
          </w:tcPr>
          <w:p w14:paraId="2690E490" w14:textId="77777777" w:rsidR="00793EF7" w:rsidRDefault="00AD564E">
            <w:r>
              <w:rPr>
                <w:sz w:val="18"/>
              </w:rPr>
              <w:t>4</w:t>
            </w:r>
          </w:p>
        </w:tc>
        <w:tc>
          <w:tcPr>
            <w:tcW w:w="3813" w:type="dxa"/>
            <w:shd w:val="clear" w:color="auto" w:fill="F8FBFD"/>
            <w:tcMar>
              <w:top w:w="80" w:type="dxa"/>
              <w:left w:w="100" w:type="dxa"/>
              <w:bottom w:w="80" w:type="dxa"/>
              <w:right w:w="100" w:type="dxa"/>
            </w:tcMar>
            <w:vAlign w:val="center"/>
          </w:tcPr>
          <w:p w14:paraId="1F9D31AB" w14:textId="77777777" w:rsidR="00793EF7" w:rsidRDefault="00AD564E">
            <w:r>
              <w:rPr>
                <w:sz w:val="18"/>
              </w:rPr>
              <w:t>GESI Assessment Report and GESI Operational Plan</w:t>
            </w:r>
          </w:p>
        </w:tc>
        <w:tc>
          <w:tcPr>
            <w:tcW w:w="5301" w:type="dxa"/>
            <w:shd w:val="clear" w:color="auto" w:fill="F8FBFD"/>
            <w:tcMar>
              <w:top w:w="80" w:type="dxa"/>
              <w:left w:w="100" w:type="dxa"/>
              <w:bottom w:w="80" w:type="dxa"/>
              <w:right w:w="100" w:type="dxa"/>
            </w:tcMar>
            <w:vAlign w:val="center"/>
          </w:tcPr>
          <w:p w14:paraId="6C87404A" w14:textId="33CE7F54" w:rsidR="00793EF7" w:rsidRDefault="00AD564E">
            <w:r>
              <w:rPr>
                <w:sz w:val="18"/>
              </w:rPr>
              <w:t xml:space="preserve">GESI gaps, inclusive workforce and farmer recommendations, recruitment / retention actions, grievance improvements, indicators, responsibilities and budgeted </w:t>
            </w:r>
            <w:r w:rsidR="004F1049">
              <w:rPr>
                <w:sz w:val="18"/>
              </w:rPr>
              <w:t xml:space="preserve">GESI </w:t>
            </w:r>
            <w:r>
              <w:rPr>
                <w:sz w:val="18"/>
              </w:rPr>
              <w:t>action plan.</w:t>
            </w:r>
          </w:p>
        </w:tc>
      </w:tr>
      <w:tr w:rsidR="00793EF7" w14:paraId="37A85C47" w14:textId="77777777" w:rsidTr="004F1049">
        <w:trPr>
          <w:jc w:val="center"/>
        </w:trPr>
        <w:tc>
          <w:tcPr>
            <w:tcW w:w="990" w:type="dxa"/>
            <w:shd w:val="clear" w:color="auto" w:fill="FFFFFF"/>
            <w:tcMar>
              <w:top w:w="80" w:type="dxa"/>
              <w:left w:w="100" w:type="dxa"/>
              <w:bottom w:w="80" w:type="dxa"/>
              <w:right w:w="100" w:type="dxa"/>
            </w:tcMar>
            <w:vAlign w:val="center"/>
          </w:tcPr>
          <w:p w14:paraId="547E11D4" w14:textId="77777777" w:rsidR="00793EF7" w:rsidRDefault="00AD564E">
            <w:r>
              <w:rPr>
                <w:sz w:val="18"/>
              </w:rPr>
              <w:t>5</w:t>
            </w:r>
          </w:p>
        </w:tc>
        <w:tc>
          <w:tcPr>
            <w:tcW w:w="3813" w:type="dxa"/>
            <w:shd w:val="clear" w:color="auto" w:fill="FFFFFF"/>
            <w:tcMar>
              <w:top w:w="80" w:type="dxa"/>
              <w:left w:w="100" w:type="dxa"/>
              <w:bottom w:w="80" w:type="dxa"/>
              <w:right w:w="100" w:type="dxa"/>
            </w:tcMar>
            <w:vAlign w:val="center"/>
          </w:tcPr>
          <w:p w14:paraId="037ECC3C" w14:textId="009025F5" w:rsidR="00793EF7" w:rsidRDefault="00AD564E">
            <w:r>
              <w:rPr>
                <w:sz w:val="18"/>
              </w:rPr>
              <w:t xml:space="preserve">Biodiversity &amp; Climate </w:t>
            </w:r>
            <w:r w:rsidR="00051663">
              <w:rPr>
                <w:sz w:val="18"/>
              </w:rPr>
              <w:t xml:space="preserve">Risk Vulnerability </w:t>
            </w:r>
            <w:r>
              <w:rPr>
                <w:sz w:val="18"/>
              </w:rPr>
              <w:t>A</w:t>
            </w:r>
            <w:r w:rsidR="00051663">
              <w:rPr>
                <w:sz w:val="18"/>
              </w:rPr>
              <w:t>ssessment</w:t>
            </w:r>
            <w:r>
              <w:rPr>
                <w:sz w:val="18"/>
              </w:rPr>
              <w:t xml:space="preserve"> Report</w:t>
            </w:r>
          </w:p>
        </w:tc>
        <w:tc>
          <w:tcPr>
            <w:tcW w:w="5301" w:type="dxa"/>
            <w:shd w:val="clear" w:color="auto" w:fill="FFFFFF"/>
            <w:tcMar>
              <w:top w:w="80" w:type="dxa"/>
              <w:left w:w="100" w:type="dxa"/>
              <w:bottom w:w="80" w:type="dxa"/>
              <w:right w:w="100" w:type="dxa"/>
            </w:tcMar>
            <w:vAlign w:val="center"/>
          </w:tcPr>
          <w:p w14:paraId="326DC196" w14:textId="6EAABC3C" w:rsidR="00793EF7" w:rsidRDefault="00AD564E">
            <w:r>
              <w:rPr>
                <w:sz w:val="18"/>
              </w:rPr>
              <w:t xml:space="preserve">High-level biodiversity assessment, CRVA findings for relevant sites and </w:t>
            </w:r>
            <w:r w:rsidR="004F1049">
              <w:rPr>
                <w:sz w:val="18"/>
              </w:rPr>
              <w:t xml:space="preserve">climate change </w:t>
            </w:r>
            <w:r>
              <w:rPr>
                <w:sz w:val="18"/>
              </w:rPr>
              <w:t>adaptation recommendations.</w:t>
            </w:r>
          </w:p>
        </w:tc>
      </w:tr>
      <w:tr w:rsidR="00793EF7" w14:paraId="5D05A167" w14:textId="77777777" w:rsidTr="004F1049">
        <w:trPr>
          <w:jc w:val="center"/>
        </w:trPr>
        <w:tc>
          <w:tcPr>
            <w:tcW w:w="990" w:type="dxa"/>
            <w:shd w:val="clear" w:color="auto" w:fill="F8FBFD"/>
            <w:tcMar>
              <w:top w:w="80" w:type="dxa"/>
              <w:left w:w="100" w:type="dxa"/>
              <w:bottom w:w="80" w:type="dxa"/>
              <w:right w:w="100" w:type="dxa"/>
            </w:tcMar>
            <w:vAlign w:val="center"/>
          </w:tcPr>
          <w:p w14:paraId="50E8DFE4" w14:textId="77777777" w:rsidR="00793EF7" w:rsidRDefault="00AD564E">
            <w:r>
              <w:rPr>
                <w:sz w:val="18"/>
              </w:rPr>
              <w:t>6</w:t>
            </w:r>
          </w:p>
        </w:tc>
        <w:tc>
          <w:tcPr>
            <w:tcW w:w="3813" w:type="dxa"/>
            <w:shd w:val="clear" w:color="auto" w:fill="F8FBFD"/>
            <w:tcMar>
              <w:top w:w="80" w:type="dxa"/>
              <w:left w:w="100" w:type="dxa"/>
              <w:bottom w:w="80" w:type="dxa"/>
              <w:right w:w="100" w:type="dxa"/>
            </w:tcMar>
            <w:vAlign w:val="center"/>
          </w:tcPr>
          <w:p w14:paraId="10E20E57" w14:textId="77777777" w:rsidR="00793EF7" w:rsidRDefault="00AD564E">
            <w:r>
              <w:rPr>
                <w:sz w:val="18"/>
              </w:rPr>
              <w:t>Supply Chain Management Package</w:t>
            </w:r>
          </w:p>
        </w:tc>
        <w:tc>
          <w:tcPr>
            <w:tcW w:w="5301" w:type="dxa"/>
            <w:shd w:val="clear" w:color="auto" w:fill="F8FBFD"/>
            <w:tcMar>
              <w:top w:w="80" w:type="dxa"/>
              <w:left w:w="100" w:type="dxa"/>
              <w:bottom w:w="80" w:type="dxa"/>
              <w:right w:w="100" w:type="dxa"/>
            </w:tcMar>
            <w:vAlign w:val="center"/>
          </w:tcPr>
          <w:p w14:paraId="4B4CD148" w14:textId="77777777" w:rsidR="00793EF7" w:rsidRDefault="00AD564E">
            <w:r>
              <w:rPr>
                <w:sz w:val="18"/>
              </w:rPr>
              <w:t>Supplier Code of Conduct, risk screening tools, monitoring process, corrective action workflow and draft supplier / contractor contract clauses.</w:t>
            </w:r>
          </w:p>
        </w:tc>
      </w:tr>
      <w:tr w:rsidR="00793EF7" w14:paraId="022E85C5" w14:textId="77777777" w:rsidTr="004F1049">
        <w:trPr>
          <w:jc w:val="center"/>
        </w:trPr>
        <w:tc>
          <w:tcPr>
            <w:tcW w:w="990" w:type="dxa"/>
            <w:shd w:val="clear" w:color="auto" w:fill="FFFFFF"/>
            <w:tcMar>
              <w:top w:w="80" w:type="dxa"/>
              <w:left w:w="100" w:type="dxa"/>
              <w:bottom w:w="80" w:type="dxa"/>
              <w:right w:w="100" w:type="dxa"/>
            </w:tcMar>
            <w:vAlign w:val="center"/>
          </w:tcPr>
          <w:p w14:paraId="3C0DDBFD" w14:textId="77777777" w:rsidR="00793EF7" w:rsidRDefault="00AD564E">
            <w:r>
              <w:rPr>
                <w:sz w:val="18"/>
              </w:rPr>
              <w:t>7</w:t>
            </w:r>
          </w:p>
        </w:tc>
        <w:tc>
          <w:tcPr>
            <w:tcW w:w="3813" w:type="dxa"/>
            <w:shd w:val="clear" w:color="auto" w:fill="FFFFFF"/>
            <w:tcMar>
              <w:top w:w="80" w:type="dxa"/>
              <w:left w:w="100" w:type="dxa"/>
              <w:bottom w:w="80" w:type="dxa"/>
              <w:right w:w="100" w:type="dxa"/>
            </w:tcMar>
            <w:vAlign w:val="center"/>
          </w:tcPr>
          <w:p w14:paraId="7ABD3E24" w14:textId="77777777" w:rsidR="00793EF7" w:rsidRDefault="00AD564E">
            <w:r>
              <w:rPr>
                <w:sz w:val="18"/>
              </w:rPr>
              <w:t>Energy Audit Report</w:t>
            </w:r>
          </w:p>
        </w:tc>
        <w:tc>
          <w:tcPr>
            <w:tcW w:w="5301" w:type="dxa"/>
            <w:shd w:val="clear" w:color="auto" w:fill="FFFFFF"/>
            <w:tcMar>
              <w:top w:w="80" w:type="dxa"/>
              <w:left w:w="100" w:type="dxa"/>
              <w:bottom w:w="80" w:type="dxa"/>
              <w:right w:w="100" w:type="dxa"/>
            </w:tcMar>
            <w:vAlign w:val="center"/>
          </w:tcPr>
          <w:p w14:paraId="4905E4FC" w14:textId="1D1DB56B" w:rsidR="00793EF7" w:rsidRDefault="00AD564E">
            <w:r>
              <w:rPr>
                <w:sz w:val="18"/>
              </w:rPr>
              <w:t>Current and projected energy-use assessment, efficiency opportunities, indicative savings, and carbon-emission avoidance recommendations.</w:t>
            </w:r>
            <w:r w:rsidR="004F1049">
              <w:rPr>
                <w:sz w:val="18"/>
              </w:rPr>
              <w:t xml:space="preserve"> Energy Efficiency Action Plan</w:t>
            </w:r>
          </w:p>
        </w:tc>
      </w:tr>
      <w:tr w:rsidR="00793EF7" w14:paraId="4C15022F" w14:textId="77777777" w:rsidTr="004F1049">
        <w:trPr>
          <w:jc w:val="center"/>
        </w:trPr>
        <w:tc>
          <w:tcPr>
            <w:tcW w:w="990" w:type="dxa"/>
            <w:shd w:val="clear" w:color="auto" w:fill="F8FBFD"/>
            <w:tcMar>
              <w:top w:w="80" w:type="dxa"/>
              <w:left w:w="100" w:type="dxa"/>
              <w:bottom w:w="80" w:type="dxa"/>
              <w:right w:w="100" w:type="dxa"/>
            </w:tcMar>
            <w:vAlign w:val="center"/>
          </w:tcPr>
          <w:p w14:paraId="4DCE9176" w14:textId="77777777" w:rsidR="00793EF7" w:rsidRDefault="00AD564E">
            <w:r>
              <w:rPr>
                <w:sz w:val="18"/>
              </w:rPr>
              <w:lastRenderedPageBreak/>
              <w:t>8</w:t>
            </w:r>
          </w:p>
        </w:tc>
        <w:tc>
          <w:tcPr>
            <w:tcW w:w="3813" w:type="dxa"/>
            <w:shd w:val="clear" w:color="auto" w:fill="F8FBFD"/>
            <w:tcMar>
              <w:top w:w="80" w:type="dxa"/>
              <w:left w:w="100" w:type="dxa"/>
              <w:bottom w:w="80" w:type="dxa"/>
              <w:right w:w="100" w:type="dxa"/>
            </w:tcMar>
            <w:vAlign w:val="center"/>
          </w:tcPr>
          <w:p w14:paraId="08AF2CDF" w14:textId="77777777" w:rsidR="00793EF7" w:rsidRDefault="00AD564E">
            <w:r>
              <w:rPr>
                <w:sz w:val="18"/>
              </w:rPr>
              <w:t>Final Consolidated Report and Presentation</w:t>
            </w:r>
          </w:p>
        </w:tc>
        <w:tc>
          <w:tcPr>
            <w:tcW w:w="5301" w:type="dxa"/>
            <w:shd w:val="clear" w:color="auto" w:fill="F8FBFD"/>
            <w:tcMar>
              <w:top w:w="80" w:type="dxa"/>
              <w:left w:w="100" w:type="dxa"/>
              <w:bottom w:w="80" w:type="dxa"/>
              <w:right w:w="100" w:type="dxa"/>
            </w:tcMar>
            <w:vAlign w:val="center"/>
          </w:tcPr>
          <w:p w14:paraId="435918B0" w14:textId="77777777" w:rsidR="00793EF7" w:rsidRDefault="00AD564E">
            <w:r>
              <w:rPr>
                <w:sz w:val="18"/>
              </w:rPr>
              <w:t>Integrated summary of findings, priority recommendations, implementation roadmap and close-out presentation to NFP / DFCD stakeholders.</w:t>
            </w:r>
          </w:p>
        </w:tc>
      </w:tr>
    </w:tbl>
    <w:p w14:paraId="5D01B4A4" w14:textId="77777777" w:rsidR="00793EF7" w:rsidRDefault="00793EF7"/>
    <w:p w14:paraId="257BE32D" w14:textId="77777777" w:rsidR="00793EF7" w:rsidRDefault="00AD564E">
      <w:pPr>
        <w:pStyle w:val="Heading1"/>
      </w:pPr>
      <w:r>
        <w:t>6. Governance, Coordination and Reporting</w:t>
      </w:r>
    </w:p>
    <w:p w14:paraId="1CC708E5" w14:textId="13F78DBD" w:rsidR="00793EF7" w:rsidRDefault="00AD564E">
      <w:pPr>
        <w:spacing w:after="80"/>
      </w:pPr>
      <w:r>
        <w:t>The consultant shall report to NFP, with oversight from the designated DFCD-OF focal.</w:t>
      </w:r>
    </w:p>
    <w:p w14:paraId="7A0B2ABE" w14:textId="77777777" w:rsidR="00793EF7" w:rsidRDefault="00AD564E">
      <w:pPr>
        <w:spacing w:after="80"/>
      </w:pPr>
      <w:r>
        <w:t>The consultant shall provide concise progress updates at least every two weeks and promptly flag any access, data or timing constraints that may affect delivery.</w:t>
      </w:r>
    </w:p>
    <w:p w14:paraId="1973B682" w14:textId="00846688" w:rsidR="00793EF7" w:rsidRDefault="00AD564E">
      <w:pPr>
        <w:spacing w:after="80"/>
      </w:pPr>
      <w:r>
        <w:t xml:space="preserve">Draft deliverables shall be submitted electronically in editable </w:t>
      </w:r>
      <w:r w:rsidR="004F1049">
        <w:t xml:space="preserve">Word </w:t>
      </w:r>
      <w:r>
        <w:t>and PDF formats. Final deliverables shall incorporate consolidated comments from NFP and DFCD-OF.</w:t>
      </w:r>
    </w:p>
    <w:p w14:paraId="072D59E5" w14:textId="77777777" w:rsidR="00793EF7" w:rsidRDefault="00AD564E">
      <w:pPr>
        <w:pStyle w:val="Heading1"/>
      </w:pPr>
      <w:r>
        <w:t>7. Duration and Level of Effort</w:t>
      </w:r>
    </w:p>
    <w:p w14:paraId="71DE504C" w14:textId="1FB2322F" w:rsidR="00793EF7" w:rsidRDefault="00AD564E">
      <w:pPr>
        <w:spacing w:after="80"/>
      </w:pPr>
      <w:r>
        <w:t xml:space="preserve">The assignment is expected to be completed within up to </w:t>
      </w:r>
      <w:r w:rsidR="004F1049">
        <w:t>3</w:t>
      </w:r>
      <w:r>
        <w:t>0 calendar days from contract signature.</w:t>
      </w:r>
    </w:p>
    <w:p w14:paraId="78BB76F5" w14:textId="77777777" w:rsidR="00793EF7" w:rsidRDefault="00AD564E">
      <w:pPr>
        <w:spacing w:after="80"/>
      </w:pPr>
      <w:r>
        <w:t>The consultant shall propose a realistic workplan showing sequencing of fieldwork, analysis, validation and final reporting across all workstreams.</w:t>
      </w:r>
    </w:p>
    <w:p w14:paraId="4ACF7EE1" w14:textId="77777777" w:rsidR="00793EF7" w:rsidRDefault="00AD564E">
      <w:pPr>
        <w:spacing w:after="80"/>
      </w:pPr>
      <w:r>
        <w:t>The financial proposal shall clearly indicate the level of effort, professional fees, reimbursable costs and taxes, with costs mapped to the major deliverables.</w:t>
      </w:r>
    </w:p>
    <w:p w14:paraId="15434A8B" w14:textId="77777777" w:rsidR="00793EF7" w:rsidRDefault="00AD564E">
      <w:pPr>
        <w:pStyle w:val="Heading1"/>
      </w:pPr>
      <w:r>
        <w:t>8. Required Qualifications and Experience</w:t>
      </w:r>
    </w:p>
    <w:p w14:paraId="518F70F0" w14:textId="77777777" w:rsidR="00793EF7" w:rsidRDefault="00AD564E">
      <w:pPr>
        <w:pStyle w:val="ListBullet"/>
        <w:spacing w:after="40"/>
      </w:pPr>
      <w:r>
        <w:t>The lead firm shall have at least 7 years of demonstrated experience in environmental and social due diligence, ESMS strengthening or related advisory assignments aligned to IFC Performance Standards or equivalent DFI standards.</w:t>
      </w:r>
    </w:p>
    <w:p w14:paraId="06EC9B1B" w14:textId="77777777" w:rsidR="00793EF7" w:rsidRDefault="00AD564E">
      <w:pPr>
        <w:pStyle w:val="ListBullet"/>
        <w:spacing w:after="40"/>
      </w:pPr>
      <w:r>
        <w:t>Proven experience in agribusiness, agro-processing and/or smallholder supply chains in Sub-Saharan Africa is required; prior work in Uganda or East Africa will be an added advantage.</w:t>
      </w:r>
    </w:p>
    <w:p w14:paraId="3E070E36" w14:textId="4C8C906E" w:rsidR="00793EF7" w:rsidRDefault="00AD564E">
      <w:pPr>
        <w:pStyle w:val="ListBullet"/>
        <w:spacing w:after="40"/>
      </w:pPr>
      <w:r>
        <w:t xml:space="preserve">The proposed team should collectively demonstrate expertise in: </w:t>
      </w:r>
      <w:r w:rsidR="004F1049">
        <w:t xml:space="preserve">ESMS, </w:t>
      </w:r>
      <w:r>
        <w:t xml:space="preserve">ESG governance </w:t>
      </w:r>
      <w:r w:rsidR="004F1049">
        <w:t>oversight</w:t>
      </w:r>
      <w:r>
        <w:t>; OHS and hazardous materials / pesticide management; GESI and safeguarding; biodiversity and climate risk / adaptation; supply chain due diligence; and energy auditing / energy efficiency.</w:t>
      </w:r>
    </w:p>
    <w:p w14:paraId="2FB8F852" w14:textId="77777777" w:rsidR="00793EF7" w:rsidRDefault="00AD564E">
      <w:pPr>
        <w:pStyle w:val="ListBullet"/>
        <w:spacing w:after="40"/>
      </w:pPr>
      <w:r>
        <w:t>Excellent report-writing skills in English are required. Practical field consultation capacity and familiarity with Ugandan legal and institutional requirements are strongly preferred.</w:t>
      </w:r>
    </w:p>
    <w:p w14:paraId="0A11D1AE" w14:textId="77777777" w:rsidR="00876F7F" w:rsidRDefault="00876F7F" w:rsidP="005E4089">
      <w:pPr>
        <w:pStyle w:val="ListBullet"/>
        <w:numPr>
          <w:ilvl w:val="0"/>
          <w:numId w:val="0"/>
        </w:numPr>
        <w:spacing w:after="40"/>
        <w:ind w:left="360"/>
      </w:pPr>
    </w:p>
    <w:p w14:paraId="661B3F4C" w14:textId="77777777" w:rsidR="00793EF7" w:rsidRDefault="00AD564E">
      <w:pPr>
        <w:pStyle w:val="Heading2"/>
      </w:pPr>
      <w:r>
        <w:t>8.1 Minimum Key Experts</w:t>
      </w:r>
    </w:p>
    <w:tbl>
      <w:tblPr>
        <w:tblW w:w="8818" w:type="dxa"/>
        <w:jc w:val="center"/>
        <w:tblLayout w:type="fixed"/>
        <w:tblLook w:val="04A0" w:firstRow="1" w:lastRow="0" w:firstColumn="1" w:lastColumn="0" w:noHBand="0" w:noVBand="1"/>
      </w:tblPr>
      <w:tblGrid>
        <w:gridCol w:w="2305"/>
        <w:gridCol w:w="2193"/>
        <w:gridCol w:w="4320"/>
      </w:tblGrid>
      <w:tr w:rsidR="00793EF7" w14:paraId="12F6FD39" w14:textId="77777777" w:rsidTr="00876F7F">
        <w:trPr>
          <w:tblHeader/>
          <w:jc w:val="center"/>
        </w:trPr>
        <w:tc>
          <w:tcPr>
            <w:tcW w:w="2305" w:type="dxa"/>
            <w:tcBorders>
              <w:bottom w:val="single" w:sz="4" w:space="0" w:color="auto"/>
            </w:tcBorders>
            <w:shd w:val="clear" w:color="auto" w:fill="1F4E79"/>
            <w:tcMar>
              <w:top w:w="80" w:type="dxa"/>
              <w:left w:w="100" w:type="dxa"/>
              <w:bottom w:w="80" w:type="dxa"/>
              <w:right w:w="100" w:type="dxa"/>
            </w:tcMar>
            <w:vAlign w:val="center"/>
          </w:tcPr>
          <w:p w14:paraId="3E583AD3" w14:textId="77777777" w:rsidR="00793EF7" w:rsidRDefault="00AD564E">
            <w:r>
              <w:rPr>
                <w:b/>
                <w:color w:val="FFFFFF"/>
                <w:sz w:val="18"/>
              </w:rPr>
              <w:t>Expert</w:t>
            </w:r>
          </w:p>
        </w:tc>
        <w:tc>
          <w:tcPr>
            <w:tcW w:w="2193" w:type="dxa"/>
            <w:tcBorders>
              <w:bottom w:val="single" w:sz="4" w:space="0" w:color="auto"/>
            </w:tcBorders>
            <w:shd w:val="clear" w:color="auto" w:fill="1F4E79"/>
            <w:tcMar>
              <w:top w:w="80" w:type="dxa"/>
              <w:left w:w="100" w:type="dxa"/>
              <w:bottom w:w="80" w:type="dxa"/>
              <w:right w:w="100" w:type="dxa"/>
            </w:tcMar>
            <w:vAlign w:val="center"/>
          </w:tcPr>
          <w:p w14:paraId="59D57FED" w14:textId="77777777" w:rsidR="00793EF7" w:rsidRDefault="00AD564E">
            <w:r>
              <w:rPr>
                <w:b/>
                <w:color w:val="FFFFFF"/>
                <w:sz w:val="18"/>
              </w:rPr>
              <w:t>Indicative Input</w:t>
            </w:r>
          </w:p>
        </w:tc>
        <w:tc>
          <w:tcPr>
            <w:tcW w:w="4320" w:type="dxa"/>
            <w:tcBorders>
              <w:bottom w:val="single" w:sz="4" w:space="0" w:color="auto"/>
            </w:tcBorders>
            <w:shd w:val="clear" w:color="auto" w:fill="1F4E79"/>
            <w:tcMar>
              <w:top w:w="80" w:type="dxa"/>
              <w:left w:w="100" w:type="dxa"/>
              <w:bottom w:w="80" w:type="dxa"/>
              <w:right w:w="100" w:type="dxa"/>
            </w:tcMar>
            <w:vAlign w:val="center"/>
          </w:tcPr>
          <w:p w14:paraId="6E9987AD" w14:textId="77777777" w:rsidR="00793EF7" w:rsidRDefault="00AD564E">
            <w:r>
              <w:rPr>
                <w:b/>
                <w:color w:val="FFFFFF"/>
                <w:sz w:val="18"/>
              </w:rPr>
              <w:t>Minimum Requirement</w:t>
            </w:r>
          </w:p>
        </w:tc>
      </w:tr>
      <w:tr w:rsidR="00793EF7" w14:paraId="033C18C7" w14:textId="77777777" w:rsidTr="00876F7F">
        <w:trPr>
          <w:jc w:val="center"/>
        </w:trPr>
        <w:tc>
          <w:tcPr>
            <w:tcW w:w="2305" w:type="dxa"/>
            <w:tcBorders>
              <w:top w:val="single" w:sz="4" w:space="0" w:color="auto"/>
              <w:left w:val="single" w:sz="4" w:space="0" w:color="auto"/>
              <w:bottom w:val="single" w:sz="4" w:space="0" w:color="auto"/>
              <w:right w:val="single" w:sz="4" w:space="0" w:color="auto"/>
            </w:tcBorders>
            <w:shd w:val="clear" w:color="auto" w:fill="FFFFFF"/>
            <w:tcMar>
              <w:top w:w="80" w:type="dxa"/>
              <w:left w:w="100" w:type="dxa"/>
              <w:bottom w:w="80" w:type="dxa"/>
              <w:right w:w="100" w:type="dxa"/>
            </w:tcMar>
            <w:vAlign w:val="center"/>
          </w:tcPr>
          <w:p w14:paraId="285D3379" w14:textId="77777777" w:rsidR="00793EF7" w:rsidRDefault="00AD564E">
            <w:r>
              <w:rPr>
                <w:sz w:val="18"/>
              </w:rPr>
              <w:t>Team Leader / Senior ESG Specialist</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80" w:type="dxa"/>
              <w:left w:w="100" w:type="dxa"/>
              <w:bottom w:w="80" w:type="dxa"/>
              <w:right w:w="100" w:type="dxa"/>
            </w:tcMar>
            <w:vAlign w:val="center"/>
          </w:tcPr>
          <w:p w14:paraId="1A8C728A" w14:textId="77777777" w:rsidR="00793EF7" w:rsidRDefault="00AD564E">
            <w:r>
              <w:rPr>
                <w:sz w:val="18"/>
              </w:rPr>
              <w:t>Lead</w:t>
            </w:r>
          </w:p>
        </w:tc>
        <w:tc>
          <w:tcPr>
            <w:tcW w:w="4320" w:type="dxa"/>
            <w:tcBorders>
              <w:top w:val="single" w:sz="4" w:space="0" w:color="auto"/>
              <w:left w:val="single" w:sz="4" w:space="0" w:color="auto"/>
              <w:bottom w:val="single" w:sz="4" w:space="0" w:color="auto"/>
              <w:right w:val="single" w:sz="4" w:space="0" w:color="auto"/>
            </w:tcBorders>
            <w:shd w:val="clear" w:color="auto" w:fill="FFFFFF"/>
            <w:tcMar>
              <w:top w:w="80" w:type="dxa"/>
              <w:left w:w="100" w:type="dxa"/>
              <w:bottom w:w="80" w:type="dxa"/>
              <w:right w:w="100" w:type="dxa"/>
            </w:tcMar>
            <w:vAlign w:val="center"/>
          </w:tcPr>
          <w:p w14:paraId="1912D9D9" w14:textId="77777777" w:rsidR="00793EF7" w:rsidRDefault="00AD564E">
            <w:r>
              <w:rPr>
                <w:sz w:val="18"/>
              </w:rPr>
              <w:t>At least 8 years' experience in ESG / E&amp;S due diligence, ESMS strengthening and governance advisory for agribusiness or comparable sectors.</w:t>
            </w:r>
          </w:p>
        </w:tc>
      </w:tr>
      <w:tr w:rsidR="00793EF7" w14:paraId="20A924F3" w14:textId="77777777" w:rsidTr="00876F7F">
        <w:trPr>
          <w:jc w:val="center"/>
        </w:trPr>
        <w:tc>
          <w:tcPr>
            <w:tcW w:w="2305" w:type="dxa"/>
            <w:tcBorders>
              <w:top w:val="single" w:sz="4" w:space="0" w:color="auto"/>
              <w:left w:val="single" w:sz="4" w:space="0" w:color="auto"/>
              <w:bottom w:val="single" w:sz="4" w:space="0" w:color="auto"/>
              <w:right w:val="single" w:sz="4" w:space="0" w:color="auto"/>
            </w:tcBorders>
            <w:shd w:val="clear" w:color="auto" w:fill="F8FBFD"/>
            <w:tcMar>
              <w:top w:w="80" w:type="dxa"/>
              <w:left w:w="100" w:type="dxa"/>
              <w:bottom w:w="80" w:type="dxa"/>
              <w:right w:w="100" w:type="dxa"/>
            </w:tcMar>
            <w:vAlign w:val="center"/>
          </w:tcPr>
          <w:p w14:paraId="338F2D96" w14:textId="77777777" w:rsidR="00793EF7" w:rsidRDefault="00AD564E">
            <w:r>
              <w:rPr>
                <w:sz w:val="18"/>
              </w:rPr>
              <w:t>Environmental Hazards / OHS Specialist</w:t>
            </w:r>
          </w:p>
        </w:tc>
        <w:tc>
          <w:tcPr>
            <w:tcW w:w="2193" w:type="dxa"/>
            <w:tcBorders>
              <w:top w:val="single" w:sz="4" w:space="0" w:color="auto"/>
              <w:left w:val="single" w:sz="4" w:space="0" w:color="auto"/>
              <w:bottom w:val="single" w:sz="4" w:space="0" w:color="auto"/>
              <w:right w:val="single" w:sz="4" w:space="0" w:color="auto"/>
            </w:tcBorders>
            <w:shd w:val="clear" w:color="auto" w:fill="F8FBFD"/>
            <w:tcMar>
              <w:top w:w="80" w:type="dxa"/>
              <w:left w:w="100" w:type="dxa"/>
              <w:bottom w:w="80" w:type="dxa"/>
              <w:right w:w="100" w:type="dxa"/>
            </w:tcMar>
            <w:vAlign w:val="center"/>
          </w:tcPr>
          <w:p w14:paraId="16D49C2E" w14:textId="77777777" w:rsidR="00793EF7" w:rsidRDefault="00AD564E">
            <w:r>
              <w:rPr>
                <w:sz w:val="18"/>
              </w:rPr>
              <w:t>Core</w:t>
            </w:r>
          </w:p>
        </w:tc>
        <w:tc>
          <w:tcPr>
            <w:tcW w:w="4320" w:type="dxa"/>
            <w:tcBorders>
              <w:top w:val="single" w:sz="4" w:space="0" w:color="auto"/>
              <w:left w:val="single" w:sz="4" w:space="0" w:color="auto"/>
              <w:bottom w:val="single" w:sz="4" w:space="0" w:color="auto"/>
              <w:right w:val="single" w:sz="4" w:space="0" w:color="auto"/>
            </w:tcBorders>
            <w:shd w:val="clear" w:color="auto" w:fill="F8FBFD"/>
            <w:tcMar>
              <w:top w:w="80" w:type="dxa"/>
              <w:left w:w="100" w:type="dxa"/>
              <w:bottom w:w="80" w:type="dxa"/>
              <w:right w:w="100" w:type="dxa"/>
            </w:tcMar>
            <w:vAlign w:val="center"/>
          </w:tcPr>
          <w:p w14:paraId="75783C2B" w14:textId="77777777" w:rsidR="00793EF7" w:rsidRDefault="00AD564E">
            <w:r>
              <w:rPr>
                <w:sz w:val="18"/>
              </w:rPr>
              <w:t xml:space="preserve">Demonstrated expertise in OHS systems, hazardous materials management and pesticide / </w:t>
            </w:r>
            <w:r>
              <w:rPr>
                <w:sz w:val="18"/>
              </w:rPr>
              <w:lastRenderedPageBreak/>
              <w:t>agrochemical controls.</w:t>
            </w:r>
          </w:p>
        </w:tc>
      </w:tr>
      <w:tr w:rsidR="00793EF7" w14:paraId="38F4AEA8" w14:textId="77777777" w:rsidTr="00876F7F">
        <w:trPr>
          <w:jc w:val="center"/>
        </w:trPr>
        <w:tc>
          <w:tcPr>
            <w:tcW w:w="2305" w:type="dxa"/>
            <w:tcBorders>
              <w:top w:val="single" w:sz="4" w:space="0" w:color="auto"/>
              <w:left w:val="single" w:sz="4" w:space="0" w:color="auto"/>
              <w:bottom w:val="single" w:sz="4" w:space="0" w:color="auto"/>
              <w:right w:val="single" w:sz="4" w:space="0" w:color="auto"/>
            </w:tcBorders>
            <w:shd w:val="clear" w:color="auto" w:fill="FFFFFF"/>
            <w:tcMar>
              <w:top w:w="80" w:type="dxa"/>
              <w:left w:w="100" w:type="dxa"/>
              <w:bottom w:w="80" w:type="dxa"/>
              <w:right w:w="100" w:type="dxa"/>
            </w:tcMar>
            <w:vAlign w:val="center"/>
          </w:tcPr>
          <w:p w14:paraId="13FB4457" w14:textId="77777777" w:rsidR="00793EF7" w:rsidRDefault="00AD564E">
            <w:r>
              <w:rPr>
                <w:sz w:val="18"/>
              </w:rPr>
              <w:lastRenderedPageBreak/>
              <w:t>GESI Specialist</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80" w:type="dxa"/>
              <w:left w:w="100" w:type="dxa"/>
              <w:bottom w:w="80" w:type="dxa"/>
              <w:right w:w="100" w:type="dxa"/>
            </w:tcMar>
            <w:vAlign w:val="center"/>
          </w:tcPr>
          <w:p w14:paraId="29796AB7" w14:textId="77777777" w:rsidR="00793EF7" w:rsidRDefault="00AD564E">
            <w:r>
              <w:rPr>
                <w:sz w:val="18"/>
              </w:rPr>
              <w:t>Core</w:t>
            </w:r>
          </w:p>
        </w:tc>
        <w:tc>
          <w:tcPr>
            <w:tcW w:w="4320" w:type="dxa"/>
            <w:tcBorders>
              <w:top w:val="single" w:sz="4" w:space="0" w:color="auto"/>
              <w:left w:val="single" w:sz="4" w:space="0" w:color="auto"/>
              <w:bottom w:val="single" w:sz="4" w:space="0" w:color="auto"/>
              <w:right w:val="single" w:sz="4" w:space="0" w:color="auto"/>
            </w:tcBorders>
            <w:shd w:val="clear" w:color="auto" w:fill="FFFFFF"/>
            <w:tcMar>
              <w:top w:w="80" w:type="dxa"/>
              <w:left w:w="100" w:type="dxa"/>
              <w:bottom w:w="80" w:type="dxa"/>
              <w:right w:w="100" w:type="dxa"/>
            </w:tcMar>
            <w:vAlign w:val="center"/>
          </w:tcPr>
          <w:p w14:paraId="31FFAF4B" w14:textId="77777777" w:rsidR="00793EF7" w:rsidRDefault="00AD564E">
            <w:r>
              <w:rPr>
                <w:sz w:val="18"/>
              </w:rPr>
              <w:t>Experience in gender and social inclusion assessments, action planning, safeguarding and grievance mechanism design.</w:t>
            </w:r>
          </w:p>
        </w:tc>
      </w:tr>
      <w:tr w:rsidR="00793EF7" w14:paraId="0295562C" w14:textId="77777777" w:rsidTr="00876F7F">
        <w:trPr>
          <w:jc w:val="center"/>
        </w:trPr>
        <w:tc>
          <w:tcPr>
            <w:tcW w:w="2305" w:type="dxa"/>
            <w:tcBorders>
              <w:top w:val="single" w:sz="4" w:space="0" w:color="auto"/>
              <w:left w:val="single" w:sz="4" w:space="0" w:color="auto"/>
              <w:bottom w:val="single" w:sz="4" w:space="0" w:color="auto"/>
              <w:right w:val="single" w:sz="4" w:space="0" w:color="auto"/>
            </w:tcBorders>
            <w:shd w:val="clear" w:color="auto" w:fill="F8FBFD"/>
            <w:tcMar>
              <w:top w:w="80" w:type="dxa"/>
              <w:left w:w="100" w:type="dxa"/>
              <w:bottom w:w="80" w:type="dxa"/>
              <w:right w:w="100" w:type="dxa"/>
            </w:tcMar>
            <w:vAlign w:val="center"/>
          </w:tcPr>
          <w:p w14:paraId="1DDD37C7" w14:textId="77777777" w:rsidR="00793EF7" w:rsidRDefault="00AD564E">
            <w:r>
              <w:rPr>
                <w:sz w:val="18"/>
              </w:rPr>
              <w:t>Biodiversity &amp; Climate Adaptation Specialist</w:t>
            </w:r>
          </w:p>
        </w:tc>
        <w:tc>
          <w:tcPr>
            <w:tcW w:w="2193" w:type="dxa"/>
            <w:tcBorders>
              <w:top w:val="single" w:sz="4" w:space="0" w:color="auto"/>
              <w:left w:val="single" w:sz="4" w:space="0" w:color="auto"/>
              <w:bottom w:val="single" w:sz="4" w:space="0" w:color="auto"/>
              <w:right w:val="single" w:sz="4" w:space="0" w:color="auto"/>
            </w:tcBorders>
            <w:shd w:val="clear" w:color="auto" w:fill="F8FBFD"/>
            <w:tcMar>
              <w:top w:w="80" w:type="dxa"/>
              <w:left w:w="100" w:type="dxa"/>
              <w:bottom w:w="80" w:type="dxa"/>
              <w:right w:w="100" w:type="dxa"/>
            </w:tcMar>
            <w:vAlign w:val="center"/>
          </w:tcPr>
          <w:p w14:paraId="4AB1917A" w14:textId="77777777" w:rsidR="00793EF7" w:rsidRDefault="00AD564E">
            <w:r>
              <w:rPr>
                <w:sz w:val="18"/>
              </w:rPr>
              <w:t>Core</w:t>
            </w:r>
          </w:p>
        </w:tc>
        <w:tc>
          <w:tcPr>
            <w:tcW w:w="4320" w:type="dxa"/>
            <w:tcBorders>
              <w:top w:val="single" w:sz="4" w:space="0" w:color="auto"/>
              <w:left w:val="single" w:sz="4" w:space="0" w:color="auto"/>
              <w:bottom w:val="single" w:sz="4" w:space="0" w:color="auto"/>
              <w:right w:val="single" w:sz="4" w:space="0" w:color="auto"/>
            </w:tcBorders>
            <w:shd w:val="clear" w:color="auto" w:fill="F8FBFD"/>
            <w:tcMar>
              <w:top w:w="80" w:type="dxa"/>
              <w:left w:w="100" w:type="dxa"/>
              <w:bottom w:w="80" w:type="dxa"/>
              <w:right w:w="100" w:type="dxa"/>
            </w:tcMar>
            <w:vAlign w:val="center"/>
          </w:tcPr>
          <w:p w14:paraId="1926DA67" w14:textId="77777777" w:rsidR="00793EF7" w:rsidRDefault="00AD564E">
            <w:r>
              <w:rPr>
                <w:sz w:val="18"/>
              </w:rPr>
              <w:t>Experience in biodiversity screening, PS6-related assessments and climate risk / vulnerability analysis in agricultural landscapes.</w:t>
            </w:r>
          </w:p>
        </w:tc>
      </w:tr>
      <w:tr w:rsidR="00793EF7" w14:paraId="4CA78639" w14:textId="77777777" w:rsidTr="00876F7F">
        <w:trPr>
          <w:jc w:val="center"/>
        </w:trPr>
        <w:tc>
          <w:tcPr>
            <w:tcW w:w="2305" w:type="dxa"/>
            <w:tcBorders>
              <w:top w:val="single" w:sz="4" w:space="0" w:color="auto"/>
              <w:left w:val="single" w:sz="4" w:space="0" w:color="auto"/>
              <w:bottom w:val="single" w:sz="4" w:space="0" w:color="auto"/>
              <w:right w:val="single" w:sz="4" w:space="0" w:color="auto"/>
            </w:tcBorders>
            <w:shd w:val="clear" w:color="auto" w:fill="FFFFFF"/>
            <w:tcMar>
              <w:top w:w="80" w:type="dxa"/>
              <w:left w:w="100" w:type="dxa"/>
              <w:bottom w:w="80" w:type="dxa"/>
              <w:right w:w="100" w:type="dxa"/>
            </w:tcMar>
            <w:vAlign w:val="center"/>
          </w:tcPr>
          <w:p w14:paraId="361784AA" w14:textId="77777777" w:rsidR="00793EF7" w:rsidRDefault="00AD564E">
            <w:r>
              <w:rPr>
                <w:sz w:val="18"/>
              </w:rPr>
              <w:t>Supply Chain / Human Rights Specialist</w:t>
            </w:r>
          </w:p>
        </w:tc>
        <w:tc>
          <w:tcPr>
            <w:tcW w:w="2193" w:type="dxa"/>
            <w:tcBorders>
              <w:top w:val="single" w:sz="4" w:space="0" w:color="auto"/>
              <w:left w:val="single" w:sz="4" w:space="0" w:color="auto"/>
              <w:bottom w:val="single" w:sz="4" w:space="0" w:color="auto"/>
              <w:right w:val="single" w:sz="4" w:space="0" w:color="auto"/>
            </w:tcBorders>
            <w:shd w:val="clear" w:color="auto" w:fill="FFFFFF"/>
            <w:tcMar>
              <w:top w:w="80" w:type="dxa"/>
              <w:left w:w="100" w:type="dxa"/>
              <w:bottom w:w="80" w:type="dxa"/>
              <w:right w:w="100" w:type="dxa"/>
            </w:tcMar>
            <w:vAlign w:val="center"/>
          </w:tcPr>
          <w:p w14:paraId="3F494DD2" w14:textId="3B78A6B6" w:rsidR="00793EF7" w:rsidRDefault="00876F7F">
            <w:r>
              <w:rPr>
                <w:sz w:val="18"/>
              </w:rPr>
              <w:t>Key</w:t>
            </w:r>
          </w:p>
        </w:tc>
        <w:tc>
          <w:tcPr>
            <w:tcW w:w="4320" w:type="dxa"/>
            <w:tcBorders>
              <w:top w:val="single" w:sz="4" w:space="0" w:color="auto"/>
              <w:left w:val="single" w:sz="4" w:space="0" w:color="auto"/>
              <w:bottom w:val="single" w:sz="4" w:space="0" w:color="auto"/>
              <w:right w:val="single" w:sz="4" w:space="0" w:color="auto"/>
            </w:tcBorders>
            <w:shd w:val="clear" w:color="auto" w:fill="FFFFFF"/>
            <w:tcMar>
              <w:top w:w="80" w:type="dxa"/>
              <w:left w:w="100" w:type="dxa"/>
              <w:bottom w:w="80" w:type="dxa"/>
              <w:right w:w="100" w:type="dxa"/>
            </w:tcMar>
            <w:vAlign w:val="center"/>
          </w:tcPr>
          <w:p w14:paraId="7A3B3685" w14:textId="77777777" w:rsidR="00793EF7" w:rsidRDefault="00AD564E">
            <w:r>
              <w:rPr>
                <w:sz w:val="18"/>
              </w:rPr>
              <w:t>Experience in supplier due diligence, codes of conduct, contract clauses and risk-based monitoring systems.</w:t>
            </w:r>
          </w:p>
        </w:tc>
      </w:tr>
      <w:tr w:rsidR="00793EF7" w14:paraId="404D2F90" w14:textId="77777777" w:rsidTr="00876F7F">
        <w:trPr>
          <w:jc w:val="center"/>
        </w:trPr>
        <w:tc>
          <w:tcPr>
            <w:tcW w:w="2305" w:type="dxa"/>
            <w:tcBorders>
              <w:top w:val="single" w:sz="4" w:space="0" w:color="auto"/>
              <w:left w:val="single" w:sz="4" w:space="0" w:color="auto"/>
              <w:bottom w:val="single" w:sz="4" w:space="0" w:color="auto"/>
              <w:right w:val="single" w:sz="4" w:space="0" w:color="auto"/>
            </w:tcBorders>
            <w:shd w:val="clear" w:color="auto" w:fill="F8FBFD"/>
            <w:tcMar>
              <w:top w:w="80" w:type="dxa"/>
              <w:left w:w="100" w:type="dxa"/>
              <w:bottom w:w="80" w:type="dxa"/>
              <w:right w:w="100" w:type="dxa"/>
            </w:tcMar>
            <w:vAlign w:val="center"/>
          </w:tcPr>
          <w:p w14:paraId="51D526ED" w14:textId="77777777" w:rsidR="00793EF7" w:rsidRDefault="00AD564E">
            <w:r>
              <w:rPr>
                <w:sz w:val="18"/>
              </w:rPr>
              <w:t>Energy Auditor / Energy Efficiency Specialist</w:t>
            </w:r>
          </w:p>
        </w:tc>
        <w:tc>
          <w:tcPr>
            <w:tcW w:w="2193" w:type="dxa"/>
            <w:tcBorders>
              <w:top w:val="single" w:sz="4" w:space="0" w:color="auto"/>
              <w:left w:val="single" w:sz="4" w:space="0" w:color="auto"/>
              <w:bottom w:val="single" w:sz="4" w:space="0" w:color="auto"/>
              <w:right w:val="single" w:sz="4" w:space="0" w:color="auto"/>
            </w:tcBorders>
            <w:shd w:val="clear" w:color="auto" w:fill="F8FBFD"/>
            <w:tcMar>
              <w:top w:w="80" w:type="dxa"/>
              <w:left w:w="100" w:type="dxa"/>
              <w:bottom w:w="80" w:type="dxa"/>
              <w:right w:w="100" w:type="dxa"/>
            </w:tcMar>
            <w:vAlign w:val="center"/>
          </w:tcPr>
          <w:p w14:paraId="7943335A" w14:textId="77777777" w:rsidR="00793EF7" w:rsidRDefault="00AD564E">
            <w:r>
              <w:rPr>
                <w:sz w:val="18"/>
              </w:rPr>
              <w:t>Core</w:t>
            </w:r>
          </w:p>
        </w:tc>
        <w:tc>
          <w:tcPr>
            <w:tcW w:w="4320" w:type="dxa"/>
            <w:tcBorders>
              <w:top w:val="single" w:sz="4" w:space="0" w:color="auto"/>
              <w:left w:val="single" w:sz="4" w:space="0" w:color="auto"/>
              <w:bottom w:val="single" w:sz="4" w:space="0" w:color="auto"/>
              <w:right w:val="single" w:sz="4" w:space="0" w:color="auto"/>
            </w:tcBorders>
            <w:shd w:val="clear" w:color="auto" w:fill="F8FBFD"/>
            <w:tcMar>
              <w:top w:w="80" w:type="dxa"/>
              <w:left w:w="100" w:type="dxa"/>
              <w:bottom w:w="80" w:type="dxa"/>
              <w:right w:w="100" w:type="dxa"/>
            </w:tcMar>
            <w:vAlign w:val="center"/>
          </w:tcPr>
          <w:p w14:paraId="2215FB0F" w14:textId="77777777" w:rsidR="00793EF7" w:rsidRDefault="00AD564E">
            <w:r>
              <w:rPr>
                <w:sz w:val="18"/>
              </w:rPr>
              <w:t>Relevant qualification and practical experience in facility energy audits, efficiency assessments and savings recommendations.</w:t>
            </w:r>
          </w:p>
        </w:tc>
      </w:tr>
    </w:tbl>
    <w:p w14:paraId="6C267B3B" w14:textId="77777777" w:rsidR="00793EF7" w:rsidRDefault="00793EF7"/>
    <w:p w14:paraId="1B52710F" w14:textId="77777777" w:rsidR="00793EF7" w:rsidRDefault="00AD564E">
      <w:pPr>
        <w:pStyle w:val="Heading1"/>
      </w:pPr>
      <w:r>
        <w:t>9. Proposal Submission Requirements</w:t>
      </w:r>
    </w:p>
    <w:p w14:paraId="44C81235" w14:textId="77777777" w:rsidR="00793EF7" w:rsidRDefault="00AD564E">
      <w:pPr>
        <w:pStyle w:val="Heading2"/>
      </w:pPr>
      <w:r>
        <w:t>9.1 Technical Proposal</w:t>
      </w:r>
    </w:p>
    <w:p w14:paraId="4A6F5937" w14:textId="77777777" w:rsidR="00793EF7" w:rsidRDefault="00AD564E">
      <w:pPr>
        <w:pStyle w:val="ListBullet"/>
        <w:spacing w:after="40"/>
      </w:pPr>
      <w:r>
        <w:t>Understanding of the assignment and comments on the Terms of Reference.</w:t>
      </w:r>
    </w:p>
    <w:p w14:paraId="2CBE6447" w14:textId="77777777" w:rsidR="00793EF7" w:rsidRDefault="00AD564E">
      <w:pPr>
        <w:pStyle w:val="ListBullet"/>
        <w:spacing w:after="40"/>
      </w:pPr>
      <w:r>
        <w:t>Detailed methodology and workplan, including proposed sampling / site coverage and stakeholder engagement approach.</w:t>
      </w:r>
    </w:p>
    <w:p w14:paraId="1F19D4B5" w14:textId="77777777" w:rsidR="00793EF7" w:rsidRDefault="00AD564E">
      <w:pPr>
        <w:pStyle w:val="ListBullet"/>
        <w:spacing w:after="40"/>
      </w:pPr>
      <w:r>
        <w:t>Composition of the team, level of effort and CVs of key experts.</w:t>
      </w:r>
    </w:p>
    <w:p w14:paraId="3D01E039" w14:textId="77777777" w:rsidR="00793EF7" w:rsidRDefault="00AD564E">
      <w:pPr>
        <w:pStyle w:val="ListBullet"/>
        <w:spacing w:after="40"/>
      </w:pPr>
      <w:r>
        <w:t>Relevant corporate experience and at least three comparable assignments completed within the last five years.</w:t>
      </w:r>
    </w:p>
    <w:p w14:paraId="0C03B497" w14:textId="77777777" w:rsidR="00793EF7" w:rsidRDefault="00AD564E">
      <w:pPr>
        <w:pStyle w:val="ListBullet"/>
        <w:spacing w:after="40"/>
      </w:pPr>
      <w:r>
        <w:t>At least two client references for similar work.</w:t>
      </w:r>
    </w:p>
    <w:p w14:paraId="0533BC15" w14:textId="77777777" w:rsidR="00793EF7" w:rsidRDefault="00AD564E">
      <w:pPr>
        <w:pStyle w:val="ListBullet"/>
        <w:spacing w:after="40"/>
      </w:pPr>
      <w:r>
        <w:t>Implementation schedule linked to the deliverables.</w:t>
      </w:r>
    </w:p>
    <w:p w14:paraId="2CC32016" w14:textId="77777777" w:rsidR="00793EF7" w:rsidRDefault="00AD564E">
      <w:pPr>
        <w:pStyle w:val="ListBullet"/>
        <w:spacing w:after="40"/>
      </w:pPr>
      <w:r>
        <w:t>Any assumptions, dependencies or support expected from NFP.</w:t>
      </w:r>
    </w:p>
    <w:p w14:paraId="54B2B725" w14:textId="77777777" w:rsidR="00793EF7" w:rsidRDefault="00AD564E">
      <w:pPr>
        <w:pStyle w:val="Heading2"/>
      </w:pPr>
      <w:r>
        <w:t>9.2 Financial Proposal</w:t>
      </w:r>
    </w:p>
    <w:p w14:paraId="6728E766" w14:textId="77777777" w:rsidR="00793EF7" w:rsidRDefault="00AD564E">
      <w:pPr>
        <w:pStyle w:val="ListBullet"/>
        <w:spacing w:after="40"/>
      </w:pPr>
      <w:r>
        <w:t xml:space="preserve">A </w:t>
      </w:r>
      <w:proofErr w:type="gramStart"/>
      <w:r>
        <w:t>lump-sum</w:t>
      </w:r>
      <w:proofErr w:type="gramEnd"/>
      <w:r>
        <w:t xml:space="preserve"> financial proposal showing professional fees, reimbursables, taxes and total price.</w:t>
      </w:r>
    </w:p>
    <w:p w14:paraId="27420F8B" w14:textId="77777777" w:rsidR="00793EF7" w:rsidRDefault="00AD564E">
      <w:pPr>
        <w:pStyle w:val="ListBullet"/>
        <w:spacing w:after="40"/>
      </w:pPr>
      <w:r>
        <w:t xml:space="preserve">A breakdown of costs by expert and by </w:t>
      </w:r>
      <w:proofErr w:type="gramStart"/>
      <w:r>
        <w:t>deliverable</w:t>
      </w:r>
      <w:proofErr w:type="gramEnd"/>
      <w:r>
        <w:t xml:space="preserve"> or workstream.</w:t>
      </w:r>
    </w:p>
    <w:p w14:paraId="2C5B1905" w14:textId="77777777" w:rsidR="00793EF7" w:rsidRDefault="00AD564E">
      <w:pPr>
        <w:pStyle w:val="ListBullet"/>
        <w:spacing w:after="40"/>
      </w:pPr>
      <w:r>
        <w:t xml:space="preserve">The proposed payment schedule </w:t>
      </w:r>
      <w:proofErr w:type="gramStart"/>
      <w:r>
        <w:t>linked</w:t>
      </w:r>
      <w:proofErr w:type="gramEnd"/>
      <w:r>
        <w:t xml:space="preserve"> to deliverables.</w:t>
      </w:r>
    </w:p>
    <w:p w14:paraId="01E77926" w14:textId="77777777" w:rsidR="00793EF7" w:rsidRDefault="00AD564E">
      <w:pPr>
        <w:pStyle w:val="Heading1"/>
      </w:pPr>
      <w:r>
        <w:t>10. Evaluation Criteria</w:t>
      </w:r>
    </w:p>
    <w:p w14:paraId="281F67B2" w14:textId="77777777" w:rsidR="00793EF7" w:rsidRDefault="00AD564E">
      <w:pPr>
        <w:spacing w:after="100"/>
      </w:pPr>
      <w:r>
        <w:t>Proposals shall be evaluated using Quality and Cost Based Selection (QCBS). The indicative weighting shall be 80% for the technical proposal and 20% for the financial proposal. A minimum technical score of 70 points shall be required to proceed to financial evaluation.</w:t>
      </w:r>
    </w:p>
    <w:p w14:paraId="6A14D66B" w14:textId="77777777" w:rsidR="001F4BE5" w:rsidRDefault="001F4BE5">
      <w:pPr>
        <w:spacing w:after="100"/>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7"/>
        <w:gridCol w:w="1440"/>
        <w:gridCol w:w="3636"/>
      </w:tblGrid>
      <w:tr w:rsidR="00793EF7" w14:paraId="0D278EF7" w14:textId="77777777" w:rsidTr="00876F7F">
        <w:trPr>
          <w:tblHeader/>
          <w:jc w:val="center"/>
        </w:trPr>
        <w:tc>
          <w:tcPr>
            <w:tcW w:w="4937" w:type="dxa"/>
            <w:shd w:val="clear" w:color="auto" w:fill="1F4E79"/>
            <w:tcMar>
              <w:top w:w="80" w:type="dxa"/>
              <w:left w:w="100" w:type="dxa"/>
              <w:bottom w:w="80" w:type="dxa"/>
              <w:right w:w="100" w:type="dxa"/>
            </w:tcMar>
            <w:vAlign w:val="center"/>
          </w:tcPr>
          <w:p w14:paraId="57D9D6AE" w14:textId="77777777" w:rsidR="00793EF7" w:rsidRDefault="00AD564E">
            <w:r>
              <w:rPr>
                <w:b/>
                <w:color w:val="FFFFFF"/>
                <w:sz w:val="18"/>
              </w:rPr>
              <w:lastRenderedPageBreak/>
              <w:t>Technical evaluation criteria</w:t>
            </w:r>
          </w:p>
        </w:tc>
        <w:tc>
          <w:tcPr>
            <w:tcW w:w="1440" w:type="dxa"/>
            <w:shd w:val="clear" w:color="auto" w:fill="1F4E79"/>
            <w:tcMar>
              <w:top w:w="80" w:type="dxa"/>
              <w:left w:w="100" w:type="dxa"/>
              <w:bottom w:w="80" w:type="dxa"/>
              <w:right w:w="100" w:type="dxa"/>
            </w:tcMar>
            <w:vAlign w:val="center"/>
          </w:tcPr>
          <w:p w14:paraId="5B0DB8D6" w14:textId="77777777" w:rsidR="00793EF7" w:rsidRDefault="00AD564E">
            <w:r>
              <w:rPr>
                <w:b/>
                <w:color w:val="FFFFFF"/>
                <w:sz w:val="18"/>
              </w:rPr>
              <w:t>Max. score</w:t>
            </w:r>
          </w:p>
        </w:tc>
        <w:tc>
          <w:tcPr>
            <w:tcW w:w="3636" w:type="dxa"/>
            <w:shd w:val="clear" w:color="auto" w:fill="1F4E79"/>
            <w:tcMar>
              <w:top w:w="80" w:type="dxa"/>
              <w:left w:w="100" w:type="dxa"/>
              <w:bottom w:w="80" w:type="dxa"/>
              <w:right w:w="100" w:type="dxa"/>
            </w:tcMar>
            <w:vAlign w:val="center"/>
          </w:tcPr>
          <w:p w14:paraId="3878CB99" w14:textId="77777777" w:rsidR="00793EF7" w:rsidRDefault="00AD564E">
            <w:r>
              <w:rPr>
                <w:b/>
                <w:color w:val="FFFFFF"/>
                <w:sz w:val="18"/>
              </w:rPr>
              <w:t>Indicative basis for scoring</w:t>
            </w:r>
          </w:p>
        </w:tc>
      </w:tr>
      <w:tr w:rsidR="00793EF7" w14:paraId="5BCE68EF" w14:textId="77777777" w:rsidTr="00876F7F">
        <w:trPr>
          <w:jc w:val="center"/>
        </w:trPr>
        <w:tc>
          <w:tcPr>
            <w:tcW w:w="4937" w:type="dxa"/>
            <w:shd w:val="clear" w:color="auto" w:fill="FFFFFF"/>
            <w:tcMar>
              <w:top w:w="80" w:type="dxa"/>
              <w:left w:w="100" w:type="dxa"/>
              <w:bottom w:w="80" w:type="dxa"/>
              <w:right w:w="100" w:type="dxa"/>
            </w:tcMar>
            <w:vAlign w:val="center"/>
          </w:tcPr>
          <w:p w14:paraId="41A4602A" w14:textId="77777777" w:rsidR="00793EF7" w:rsidRDefault="00AD564E">
            <w:r>
              <w:rPr>
                <w:sz w:val="18"/>
              </w:rPr>
              <w:t>Firm experience in comparable ESG / GESI / agribusiness assignments</w:t>
            </w:r>
          </w:p>
        </w:tc>
        <w:tc>
          <w:tcPr>
            <w:tcW w:w="1440" w:type="dxa"/>
            <w:shd w:val="clear" w:color="auto" w:fill="FFFFFF"/>
            <w:tcMar>
              <w:top w:w="80" w:type="dxa"/>
              <w:left w:w="100" w:type="dxa"/>
              <w:bottom w:w="80" w:type="dxa"/>
              <w:right w:w="100" w:type="dxa"/>
            </w:tcMar>
            <w:vAlign w:val="center"/>
          </w:tcPr>
          <w:p w14:paraId="5A09FB34" w14:textId="77777777" w:rsidR="00793EF7" w:rsidRDefault="00AD564E">
            <w:r>
              <w:rPr>
                <w:sz w:val="18"/>
              </w:rPr>
              <w:t>20</w:t>
            </w:r>
          </w:p>
        </w:tc>
        <w:tc>
          <w:tcPr>
            <w:tcW w:w="3636" w:type="dxa"/>
            <w:shd w:val="clear" w:color="auto" w:fill="FFFFFF"/>
            <w:tcMar>
              <w:top w:w="80" w:type="dxa"/>
              <w:left w:w="100" w:type="dxa"/>
              <w:bottom w:w="80" w:type="dxa"/>
              <w:right w:w="100" w:type="dxa"/>
            </w:tcMar>
            <w:vAlign w:val="center"/>
          </w:tcPr>
          <w:p w14:paraId="4BF6F2D3" w14:textId="77777777" w:rsidR="00793EF7" w:rsidRDefault="00AD564E">
            <w:r>
              <w:rPr>
                <w:sz w:val="18"/>
              </w:rPr>
              <w:t>Demonstrated relevance, scale and quality of similar assignments.</w:t>
            </w:r>
          </w:p>
        </w:tc>
      </w:tr>
      <w:tr w:rsidR="00793EF7" w14:paraId="363BC34D" w14:textId="77777777" w:rsidTr="00876F7F">
        <w:trPr>
          <w:jc w:val="center"/>
        </w:trPr>
        <w:tc>
          <w:tcPr>
            <w:tcW w:w="4937" w:type="dxa"/>
            <w:shd w:val="clear" w:color="auto" w:fill="F8FBFD"/>
            <w:tcMar>
              <w:top w:w="80" w:type="dxa"/>
              <w:left w:w="100" w:type="dxa"/>
              <w:bottom w:w="80" w:type="dxa"/>
              <w:right w:w="100" w:type="dxa"/>
            </w:tcMar>
            <w:vAlign w:val="center"/>
          </w:tcPr>
          <w:p w14:paraId="189C8253" w14:textId="77777777" w:rsidR="00793EF7" w:rsidRDefault="00AD564E">
            <w:r>
              <w:rPr>
                <w:sz w:val="18"/>
              </w:rPr>
              <w:t>Proposed methodology and understanding of the ToR</w:t>
            </w:r>
          </w:p>
        </w:tc>
        <w:tc>
          <w:tcPr>
            <w:tcW w:w="1440" w:type="dxa"/>
            <w:shd w:val="clear" w:color="auto" w:fill="F8FBFD"/>
            <w:tcMar>
              <w:top w:w="80" w:type="dxa"/>
              <w:left w:w="100" w:type="dxa"/>
              <w:bottom w:w="80" w:type="dxa"/>
              <w:right w:w="100" w:type="dxa"/>
            </w:tcMar>
            <w:vAlign w:val="center"/>
          </w:tcPr>
          <w:p w14:paraId="47407A67" w14:textId="77777777" w:rsidR="00793EF7" w:rsidRDefault="00AD564E">
            <w:r>
              <w:rPr>
                <w:sz w:val="18"/>
              </w:rPr>
              <w:t>30</w:t>
            </w:r>
          </w:p>
        </w:tc>
        <w:tc>
          <w:tcPr>
            <w:tcW w:w="3636" w:type="dxa"/>
            <w:shd w:val="clear" w:color="auto" w:fill="F8FBFD"/>
            <w:tcMar>
              <w:top w:w="80" w:type="dxa"/>
              <w:left w:w="100" w:type="dxa"/>
              <w:bottom w:w="80" w:type="dxa"/>
              <w:right w:w="100" w:type="dxa"/>
            </w:tcMar>
            <w:vAlign w:val="center"/>
          </w:tcPr>
          <w:p w14:paraId="0FA48981" w14:textId="77777777" w:rsidR="00793EF7" w:rsidRDefault="00AD564E">
            <w:r>
              <w:rPr>
                <w:sz w:val="18"/>
              </w:rPr>
              <w:t>Technical rigor, practicality, integration across workstreams and clarity of deliverable approach.</w:t>
            </w:r>
          </w:p>
        </w:tc>
      </w:tr>
      <w:tr w:rsidR="00793EF7" w14:paraId="7CF43847" w14:textId="77777777" w:rsidTr="00876F7F">
        <w:trPr>
          <w:jc w:val="center"/>
        </w:trPr>
        <w:tc>
          <w:tcPr>
            <w:tcW w:w="4937" w:type="dxa"/>
            <w:shd w:val="clear" w:color="auto" w:fill="FFFFFF"/>
            <w:tcMar>
              <w:top w:w="80" w:type="dxa"/>
              <w:left w:w="100" w:type="dxa"/>
              <w:bottom w:w="80" w:type="dxa"/>
              <w:right w:w="100" w:type="dxa"/>
            </w:tcMar>
            <w:vAlign w:val="center"/>
          </w:tcPr>
          <w:p w14:paraId="2DC0259C" w14:textId="77777777" w:rsidR="00793EF7" w:rsidRDefault="00AD564E">
            <w:r>
              <w:rPr>
                <w:sz w:val="18"/>
              </w:rPr>
              <w:t>Qualifications and experience of key experts</w:t>
            </w:r>
          </w:p>
        </w:tc>
        <w:tc>
          <w:tcPr>
            <w:tcW w:w="1440" w:type="dxa"/>
            <w:shd w:val="clear" w:color="auto" w:fill="FFFFFF"/>
            <w:tcMar>
              <w:top w:w="80" w:type="dxa"/>
              <w:left w:w="100" w:type="dxa"/>
              <w:bottom w:w="80" w:type="dxa"/>
              <w:right w:w="100" w:type="dxa"/>
            </w:tcMar>
            <w:vAlign w:val="center"/>
          </w:tcPr>
          <w:p w14:paraId="3F6F93D5" w14:textId="77777777" w:rsidR="00793EF7" w:rsidRDefault="00AD564E">
            <w:r>
              <w:rPr>
                <w:sz w:val="18"/>
              </w:rPr>
              <w:t>30</w:t>
            </w:r>
          </w:p>
        </w:tc>
        <w:tc>
          <w:tcPr>
            <w:tcW w:w="3636" w:type="dxa"/>
            <w:shd w:val="clear" w:color="auto" w:fill="FFFFFF"/>
            <w:tcMar>
              <w:top w:w="80" w:type="dxa"/>
              <w:left w:w="100" w:type="dxa"/>
              <w:bottom w:w="80" w:type="dxa"/>
              <w:right w:w="100" w:type="dxa"/>
            </w:tcMar>
            <w:vAlign w:val="center"/>
          </w:tcPr>
          <w:p w14:paraId="36873B21" w14:textId="77777777" w:rsidR="00793EF7" w:rsidRDefault="00AD564E">
            <w:r>
              <w:rPr>
                <w:sz w:val="18"/>
              </w:rPr>
              <w:t>Relevance, seniority and balance of the proposed multidisciplinary team.</w:t>
            </w:r>
          </w:p>
        </w:tc>
      </w:tr>
      <w:tr w:rsidR="00793EF7" w14:paraId="2A87073B" w14:textId="77777777" w:rsidTr="00876F7F">
        <w:trPr>
          <w:jc w:val="center"/>
        </w:trPr>
        <w:tc>
          <w:tcPr>
            <w:tcW w:w="4937" w:type="dxa"/>
            <w:shd w:val="clear" w:color="auto" w:fill="F8FBFD"/>
            <w:tcMar>
              <w:top w:w="80" w:type="dxa"/>
              <w:left w:w="100" w:type="dxa"/>
              <w:bottom w:w="80" w:type="dxa"/>
              <w:right w:w="100" w:type="dxa"/>
            </w:tcMar>
            <w:vAlign w:val="center"/>
          </w:tcPr>
          <w:p w14:paraId="401FED16" w14:textId="77777777" w:rsidR="00793EF7" w:rsidRDefault="00AD564E">
            <w:r>
              <w:rPr>
                <w:sz w:val="18"/>
              </w:rPr>
              <w:t>Workplan and assignment management approach</w:t>
            </w:r>
          </w:p>
        </w:tc>
        <w:tc>
          <w:tcPr>
            <w:tcW w:w="1440" w:type="dxa"/>
            <w:shd w:val="clear" w:color="auto" w:fill="F8FBFD"/>
            <w:tcMar>
              <w:top w:w="80" w:type="dxa"/>
              <w:left w:w="100" w:type="dxa"/>
              <w:bottom w:w="80" w:type="dxa"/>
              <w:right w:w="100" w:type="dxa"/>
            </w:tcMar>
            <w:vAlign w:val="center"/>
          </w:tcPr>
          <w:p w14:paraId="23D7310C" w14:textId="77777777" w:rsidR="00793EF7" w:rsidRDefault="00AD564E">
            <w:r>
              <w:rPr>
                <w:sz w:val="18"/>
              </w:rPr>
              <w:t>10</w:t>
            </w:r>
          </w:p>
        </w:tc>
        <w:tc>
          <w:tcPr>
            <w:tcW w:w="3636" w:type="dxa"/>
            <w:shd w:val="clear" w:color="auto" w:fill="F8FBFD"/>
            <w:tcMar>
              <w:top w:w="80" w:type="dxa"/>
              <w:left w:w="100" w:type="dxa"/>
              <w:bottom w:w="80" w:type="dxa"/>
              <w:right w:w="100" w:type="dxa"/>
            </w:tcMar>
            <w:vAlign w:val="center"/>
          </w:tcPr>
          <w:p w14:paraId="11815ADA" w14:textId="77777777" w:rsidR="00793EF7" w:rsidRDefault="00AD564E">
            <w:r>
              <w:rPr>
                <w:sz w:val="18"/>
              </w:rPr>
              <w:t>Feasibility of schedule, quality assurance and coordination arrangements.</w:t>
            </w:r>
          </w:p>
        </w:tc>
      </w:tr>
      <w:tr w:rsidR="00793EF7" w14:paraId="78A41EC6" w14:textId="77777777" w:rsidTr="00876F7F">
        <w:trPr>
          <w:jc w:val="center"/>
        </w:trPr>
        <w:tc>
          <w:tcPr>
            <w:tcW w:w="4937" w:type="dxa"/>
            <w:shd w:val="clear" w:color="auto" w:fill="FFFFFF"/>
            <w:tcMar>
              <w:top w:w="80" w:type="dxa"/>
              <w:left w:w="100" w:type="dxa"/>
              <w:bottom w:w="80" w:type="dxa"/>
              <w:right w:w="100" w:type="dxa"/>
            </w:tcMar>
            <w:vAlign w:val="center"/>
          </w:tcPr>
          <w:p w14:paraId="192D3874" w14:textId="77777777" w:rsidR="00793EF7" w:rsidRDefault="00AD564E">
            <w:r>
              <w:rPr>
                <w:sz w:val="18"/>
              </w:rPr>
              <w:t>Local presence / contextual understanding</w:t>
            </w:r>
          </w:p>
        </w:tc>
        <w:tc>
          <w:tcPr>
            <w:tcW w:w="1440" w:type="dxa"/>
            <w:shd w:val="clear" w:color="auto" w:fill="FFFFFF"/>
            <w:tcMar>
              <w:top w:w="80" w:type="dxa"/>
              <w:left w:w="100" w:type="dxa"/>
              <w:bottom w:w="80" w:type="dxa"/>
              <w:right w:w="100" w:type="dxa"/>
            </w:tcMar>
            <w:vAlign w:val="center"/>
          </w:tcPr>
          <w:p w14:paraId="76DB81B2" w14:textId="77777777" w:rsidR="00793EF7" w:rsidRDefault="00AD564E">
            <w:r>
              <w:rPr>
                <w:sz w:val="18"/>
              </w:rPr>
              <w:t>10</w:t>
            </w:r>
          </w:p>
        </w:tc>
        <w:tc>
          <w:tcPr>
            <w:tcW w:w="3636" w:type="dxa"/>
            <w:shd w:val="clear" w:color="auto" w:fill="FFFFFF"/>
            <w:tcMar>
              <w:top w:w="80" w:type="dxa"/>
              <w:left w:w="100" w:type="dxa"/>
              <w:bottom w:w="80" w:type="dxa"/>
              <w:right w:w="100" w:type="dxa"/>
            </w:tcMar>
            <w:vAlign w:val="center"/>
          </w:tcPr>
          <w:p w14:paraId="5E0B7569" w14:textId="77777777" w:rsidR="00793EF7" w:rsidRDefault="00AD564E">
            <w:r>
              <w:rPr>
                <w:sz w:val="18"/>
              </w:rPr>
              <w:t>Uganda or East Africa experience, stakeholder engagement capability and practical field readiness.</w:t>
            </w:r>
          </w:p>
        </w:tc>
      </w:tr>
    </w:tbl>
    <w:p w14:paraId="4B3D85C5" w14:textId="77777777" w:rsidR="00793EF7" w:rsidRDefault="00793EF7"/>
    <w:p w14:paraId="1241A984" w14:textId="77777777" w:rsidR="00793EF7" w:rsidRDefault="00AD564E">
      <w:pPr>
        <w:pStyle w:val="Heading1"/>
      </w:pPr>
      <w:r>
        <w:t>11. Payment Schedule</w:t>
      </w:r>
    </w:p>
    <w:tbl>
      <w:tblPr>
        <w:tblW w:w="10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3402"/>
        <w:gridCol w:w="3118"/>
        <w:gridCol w:w="2109"/>
      </w:tblGrid>
      <w:tr w:rsidR="00793EF7" w14:paraId="39EF03C9" w14:textId="77777777" w:rsidTr="00876F7F">
        <w:trPr>
          <w:tblHeader/>
          <w:jc w:val="center"/>
        </w:trPr>
        <w:tc>
          <w:tcPr>
            <w:tcW w:w="1669" w:type="dxa"/>
            <w:shd w:val="clear" w:color="auto" w:fill="1F4E79"/>
            <w:tcMar>
              <w:top w:w="80" w:type="dxa"/>
              <w:left w:w="100" w:type="dxa"/>
              <w:bottom w:w="80" w:type="dxa"/>
              <w:right w:w="100" w:type="dxa"/>
            </w:tcMar>
            <w:vAlign w:val="center"/>
          </w:tcPr>
          <w:p w14:paraId="7C10E359" w14:textId="77777777" w:rsidR="00793EF7" w:rsidRDefault="00AD564E">
            <w:r>
              <w:rPr>
                <w:b/>
                <w:color w:val="FFFFFF"/>
                <w:sz w:val="18"/>
              </w:rPr>
              <w:t>Phase</w:t>
            </w:r>
          </w:p>
        </w:tc>
        <w:tc>
          <w:tcPr>
            <w:tcW w:w="3402" w:type="dxa"/>
            <w:shd w:val="clear" w:color="auto" w:fill="1F4E79"/>
            <w:tcMar>
              <w:top w:w="80" w:type="dxa"/>
              <w:left w:w="100" w:type="dxa"/>
              <w:bottom w:w="80" w:type="dxa"/>
              <w:right w:w="100" w:type="dxa"/>
            </w:tcMar>
            <w:vAlign w:val="center"/>
          </w:tcPr>
          <w:p w14:paraId="2EEEC897" w14:textId="77777777" w:rsidR="00793EF7" w:rsidRDefault="00AD564E">
            <w:r>
              <w:rPr>
                <w:b/>
                <w:color w:val="FFFFFF"/>
                <w:sz w:val="18"/>
              </w:rPr>
              <w:t>Linked deliverable(s)</w:t>
            </w:r>
          </w:p>
        </w:tc>
        <w:tc>
          <w:tcPr>
            <w:tcW w:w="3118" w:type="dxa"/>
            <w:shd w:val="clear" w:color="auto" w:fill="1F4E79"/>
            <w:tcMar>
              <w:top w:w="80" w:type="dxa"/>
              <w:left w:w="100" w:type="dxa"/>
              <w:bottom w:w="80" w:type="dxa"/>
              <w:right w:w="100" w:type="dxa"/>
            </w:tcMar>
            <w:vAlign w:val="center"/>
          </w:tcPr>
          <w:p w14:paraId="19921B0E" w14:textId="77777777" w:rsidR="00793EF7" w:rsidRDefault="00AD564E">
            <w:r>
              <w:rPr>
                <w:b/>
                <w:color w:val="FFFFFF"/>
                <w:sz w:val="18"/>
              </w:rPr>
              <w:t>Basis for payment</w:t>
            </w:r>
          </w:p>
        </w:tc>
        <w:tc>
          <w:tcPr>
            <w:tcW w:w="2109" w:type="dxa"/>
            <w:shd w:val="clear" w:color="auto" w:fill="1F4E79"/>
            <w:tcMar>
              <w:top w:w="80" w:type="dxa"/>
              <w:left w:w="100" w:type="dxa"/>
              <w:bottom w:w="80" w:type="dxa"/>
              <w:right w:w="100" w:type="dxa"/>
            </w:tcMar>
            <w:vAlign w:val="center"/>
          </w:tcPr>
          <w:p w14:paraId="1524A588" w14:textId="2FA142D9" w:rsidR="00793EF7" w:rsidRDefault="00AD564E">
            <w:r>
              <w:rPr>
                <w:b/>
                <w:color w:val="FFFFFF"/>
                <w:sz w:val="18"/>
              </w:rPr>
              <w:t>%</w:t>
            </w:r>
            <w:r w:rsidR="00876F7F">
              <w:rPr>
                <w:b/>
                <w:color w:val="FFFFFF"/>
                <w:sz w:val="18"/>
              </w:rPr>
              <w:t xml:space="preserve"> Score</w:t>
            </w:r>
          </w:p>
        </w:tc>
      </w:tr>
      <w:tr w:rsidR="00793EF7" w14:paraId="7E630DD9" w14:textId="77777777" w:rsidTr="00876F7F">
        <w:trPr>
          <w:jc w:val="center"/>
        </w:trPr>
        <w:tc>
          <w:tcPr>
            <w:tcW w:w="1669" w:type="dxa"/>
            <w:shd w:val="clear" w:color="auto" w:fill="FFFFFF"/>
            <w:tcMar>
              <w:top w:w="80" w:type="dxa"/>
              <w:left w:w="100" w:type="dxa"/>
              <w:bottom w:w="80" w:type="dxa"/>
              <w:right w:w="100" w:type="dxa"/>
            </w:tcMar>
            <w:vAlign w:val="center"/>
          </w:tcPr>
          <w:p w14:paraId="21710466" w14:textId="77777777" w:rsidR="00793EF7" w:rsidRDefault="00AD564E">
            <w:r>
              <w:rPr>
                <w:sz w:val="18"/>
              </w:rPr>
              <w:t>Phase 1</w:t>
            </w:r>
          </w:p>
        </w:tc>
        <w:tc>
          <w:tcPr>
            <w:tcW w:w="3402" w:type="dxa"/>
            <w:shd w:val="clear" w:color="auto" w:fill="FFFFFF"/>
            <w:tcMar>
              <w:top w:w="80" w:type="dxa"/>
              <w:left w:w="100" w:type="dxa"/>
              <w:bottom w:w="80" w:type="dxa"/>
              <w:right w:w="100" w:type="dxa"/>
            </w:tcMar>
            <w:vAlign w:val="center"/>
          </w:tcPr>
          <w:p w14:paraId="07C27062" w14:textId="77777777" w:rsidR="00793EF7" w:rsidRDefault="00AD564E">
            <w:r>
              <w:rPr>
                <w:sz w:val="18"/>
              </w:rPr>
              <w:t>Inception Report</w:t>
            </w:r>
          </w:p>
        </w:tc>
        <w:tc>
          <w:tcPr>
            <w:tcW w:w="3118" w:type="dxa"/>
            <w:shd w:val="clear" w:color="auto" w:fill="FFFFFF"/>
            <w:tcMar>
              <w:top w:w="80" w:type="dxa"/>
              <w:left w:w="100" w:type="dxa"/>
              <w:bottom w:w="80" w:type="dxa"/>
              <w:right w:w="100" w:type="dxa"/>
            </w:tcMar>
            <w:vAlign w:val="center"/>
          </w:tcPr>
          <w:p w14:paraId="495E2356" w14:textId="77777777" w:rsidR="00793EF7" w:rsidRDefault="00AD564E">
            <w:r>
              <w:rPr>
                <w:sz w:val="18"/>
              </w:rPr>
              <w:t>Upon approval of the inception report and workplan.</w:t>
            </w:r>
          </w:p>
        </w:tc>
        <w:tc>
          <w:tcPr>
            <w:tcW w:w="2109" w:type="dxa"/>
            <w:shd w:val="clear" w:color="auto" w:fill="FFFFFF"/>
            <w:tcMar>
              <w:top w:w="80" w:type="dxa"/>
              <w:left w:w="100" w:type="dxa"/>
              <w:bottom w:w="80" w:type="dxa"/>
              <w:right w:w="100" w:type="dxa"/>
            </w:tcMar>
            <w:vAlign w:val="center"/>
          </w:tcPr>
          <w:p w14:paraId="3B7E7BE0" w14:textId="77777777" w:rsidR="00793EF7" w:rsidRDefault="00AD564E">
            <w:r>
              <w:rPr>
                <w:sz w:val="18"/>
              </w:rPr>
              <w:t>20%</w:t>
            </w:r>
          </w:p>
        </w:tc>
      </w:tr>
      <w:tr w:rsidR="00793EF7" w14:paraId="4820CE90" w14:textId="77777777" w:rsidTr="00876F7F">
        <w:trPr>
          <w:jc w:val="center"/>
        </w:trPr>
        <w:tc>
          <w:tcPr>
            <w:tcW w:w="1669" w:type="dxa"/>
            <w:shd w:val="clear" w:color="auto" w:fill="F8FBFD"/>
            <w:tcMar>
              <w:top w:w="80" w:type="dxa"/>
              <w:left w:w="100" w:type="dxa"/>
              <w:bottom w:w="80" w:type="dxa"/>
              <w:right w:w="100" w:type="dxa"/>
            </w:tcMar>
            <w:vAlign w:val="center"/>
          </w:tcPr>
          <w:p w14:paraId="391736FE" w14:textId="77777777" w:rsidR="00793EF7" w:rsidRDefault="00AD564E">
            <w:r>
              <w:rPr>
                <w:sz w:val="18"/>
              </w:rPr>
              <w:t>Phase 2</w:t>
            </w:r>
          </w:p>
        </w:tc>
        <w:tc>
          <w:tcPr>
            <w:tcW w:w="3402" w:type="dxa"/>
            <w:shd w:val="clear" w:color="auto" w:fill="F8FBFD"/>
            <w:tcMar>
              <w:top w:w="80" w:type="dxa"/>
              <w:left w:w="100" w:type="dxa"/>
              <w:bottom w:w="80" w:type="dxa"/>
              <w:right w:w="100" w:type="dxa"/>
            </w:tcMar>
            <w:vAlign w:val="center"/>
          </w:tcPr>
          <w:p w14:paraId="4AA57D2C" w14:textId="4D3F8115" w:rsidR="00793EF7" w:rsidRDefault="00876F7F">
            <w:r>
              <w:rPr>
                <w:sz w:val="18"/>
              </w:rPr>
              <w:t>Draft</w:t>
            </w:r>
            <w:r w:rsidR="00AD564E">
              <w:rPr>
                <w:sz w:val="18"/>
              </w:rPr>
              <w:t xml:space="preserve"> assessment reports</w:t>
            </w:r>
          </w:p>
        </w:tc>
        <w:tc>
          <w:tcPr>
            <w:tcW w:w="3118" w:type="dxa"/>
            <w:shd w:val="clear" w:color="auto" w:fill="F8FBFD"/>
            <w:tcMar>
              <w:top w:w="80" w:type="dxa"/>
              <w:left w:w="100" w:type="dxa"/>
              <w:bottom w:w="80" w:type="dxa"/>
              <w:right w:w="100" w:type="dxa"/>
            </w:tcMar>
            <w:vAlign w:val="center"/>
          </w:tcPr>
          <w:p w14:paraId="49BFE517" w14:textId="3A893A55" w:rsidR="00793EF7" w:rsidRDefault="00AD564E">
            <w:r>
              <w:rPr>
                <w:sz w:val="18"/>
              </w:rPr>
              <w:t>Upon submission and acceptance of the E</w:t>
            </w:r>
            <w:r w:rsidR="00051663">
              <w:rPr>
                <w:sz w:val="18"/>
              </w:rPr>
              <w:t>&amp;</w:t>
            </w:r>
            <w:r>
              <w:rPr>
                <w:sz w:val="18"/>
              </w:rPr>
              <w:t>S</w:t>
            </w:r>
            <w:r w:rsidR="00876F7F">
              <w:rPr>
                <w:sz w:val="18"/>
              </w:rPr>
              <w:t xml:space="preserve"> </w:t>
            </w:r>
            <w:proofErr w:type="spellStart"/>
            <w:proofErr w:type="gramStart"/>
            <w:r w:rsidR="00876F7F">
              <w:rPr>
                <w:sz w:val="18"/>
              </w:rPr>
              <w:t>report</w:t>
            </w:r>
            <w:r>
              <w:rPr>
                <w:sz w:val="18"/>
              </w:rPr>
              <w:t>,</w:t>
            </w:r>
            <w:r w:rsidR="00051663">
              <w:rPr>
                <w:sz w:val="18"/>
              </w:rPr>
              <w:t>ESMS</w:t>
            </w:r>
            <w:proofErr w:type="spellEnd"/>
            <w:proofErr w:type="gramEnd"/>
            <w:r w:rsidR="00051663">
              <w:rPr>
                <w:sz w:val="18"/>
              </w:rPr>
              <w:t>,</w:t>
            </w:r>
            <w:r>
              <w:rPr>
                <w:sz w:val="18"/>
              </w:rPr>
              <w:t xml:space="preserve"> </w:t>
            </w:r>
            <w:r w:rsidR="00876F7F">
              <w:rPr>
                <w:sz w:val="18"/>
              </w:rPr>
              <w:t>OHS audit</w:t>
            </w:r>
            <w:r>
              <w:rPr>
                <w:sz w:val="18"/>
              </w:rPr>
              <w:t>, GESI</w:t>
            </w:r>
            <w:r w:rsidR="00876F7F">
              <w:rPr>
                <w:sz w:val="18"/>
              </w:rPr>
              <w:t xml:space="preserve"> report</w:t>
            </w:r>
            <w:r>
              <w:rPr>
                <w:sz w:val="18"/>
              </w:rPr>
              <w:t>, biodiversity / climate</w:t>
            </w:r>
            <w:r w:rsidR="00051663">
              <w:rPr>
                <w:sz w:val="18"/>
              </w:rPr>
              <w:t xml:space="preserve"> risk assessment, Supplier Assessment</w:t>
            </w:r>
            <w:r>
              <w:rPr>
                <w:sz w:val="18"/>
              </w:rPr>
              <w:t xml:space="preserve"> and </w:t>
            </w:r>
            <w:r w:rsidR="00051663">
              <w:rPr>
                <w:sz w:val="18"/>
              </w:rPr>
              <w:t>E</w:t>
            </w:r>
            <w:r>
              <w:rPr>
                <w:sz w:val="18"/>
              </w:rPr>
              <w:t xml:space="preserve">nergy </w:t>
            </w:r>
            <w:r w:rsidR="00051663">
              <w:rPr>
                <w:sz w:val="18"/>
              </w:rPr>
              <w:t xml:space="preserve">audit </w:t>
            </w:r>
            <w:r>
              <w:rPr>
                <w:sz w:val="18"/>
              </w:rPr>
              <w:t>draft reports.</w:t>
            </w:r>
          </w:p>
        </w:tc>
        <w:tc>
          <w:tcPr>
            <w:tcW w:w="2109" w:type="dxa"/>
            <w:shd w:val="clear" w:color="auto" w:fill="F8FBFD"/>
            <w:tcMar>
              <w:top w:w="80" w:type="dxa"/>
              <w:left w:w="100" w:type="dxa"/>
              <w:bottom w:w="80" w:type="dxa"/>
              <w:right w:w="100" w:type="dxa"/>
            </w:tcMar>
            <w:vAlign w:val="center"/>
          </w:tcPr>
          <w:p w14:paraId="61C4709B" w14:textId="77777777" w:rsidR="00793EF7" w:rsidRDefault="00AD564E">
            <w:r>
              <w:rPr>
                <w:sz w:val="18"/>
              </w:rPr>
              <w:t>40%</w:t>
            </w:r>
          </w:p>
        </w:tc>
      </w:tr>
      <w:tr w:rsidR="00793EF7" w14:paraId="7B17C82D" w14:textId="77777777" w:rsidTr="00876F7F">
        <w:trPr>
          <w:jc w:val="center"/>
        </w:trPr>
        <w:tc>
          <w:tcPr>
            <w:tcW w:w="1669" w:type="dxa"/>
            <w:shd w:val="clear" w:color="auto" w:fill="FFFFFF"/>
            <w:tcMar>
              <w:top w:w="80" w:type="dxa"/>
              <w:left w:w="100" w:type="dxa"/>
              <w:bottom w:w="80" w:type="dxa"/>
              <w:right w:w="100" w:type="dxa"/>
            </w:tcMar>
            <w:vAlign w:val="center"/>
          </w:tcPr>
          <w:p w14:paraId="2DA14580" w14:textId="77777777" w:rsidR="00793EF7" w:rsidRDefault="00AD564E">
            <w:r>
              <w:rPr>
                <w:sz w:val="18"/>
              </w:rPr>
              <w:t>Phase 3</w:t>
            </w:r>
          </w:p>
        </w:tc>
        <w:tc>
          <w:tcPr>
            <w:tcW w:w="3402" w:type="dxa"/>
            <w:shd w:val="clear" w:color="auto" w:fill="FFFFFF"/>
            <w:tcMar>
              <w:top w:w="80" w:type="dxa"/>
              <w:left w:w="100" w:type="dxa"/>
              <w:bottom w:w="80" w:type="dxa"/>
              <w:right w:w="100" w:type="dxa"/>
            </w:tcMar>
            <w:vAlign w:val="center"/>
          </w:tcPr>
          <w:p w14:paraId="1EF41B84" w14:textId="4FDD6B09" w:rsidR="00793EF7" w:rsidRDefault="00876F7F">
            <w:r>
              <w:rPr>
                <w:sz w:val="18"/>
              </w:rPr>
              <w:t xml:space="preserve">Core Assessment Reports &amp; </w:t>
            </w:r>
            <w:r w:rsidR="00AD564E">
              <w:rPr>
                <w:sz w:val="18"/>
              </w:rPr>
              <w:t>Management p</w:t>
            </w:r>
            <w:r w:rsidR="00051663">
              <w:rPr>
                <w:sz w:val="18"/>
              </w:rPr>
              <w:t>lans</w:t>
            </w:r>
            <w:r>
              <w:rPr>
                <w:sz w:val="18"/>
              </w:rPr>
              <w:t xml:space="preserve"> (Action Plans)</w:t>
            </w:r>
          </w:p>
        </w:tc>
        <w:tc>
          <w:tcPr>
            <w:tcW w:w="3118" w:type="dxa"/>
            <w:shd w:val="clear" w:color="auto" w:fill="FFFFFF"/>
            <w:tcMar>
              <w:top w:w="80" w:type="dxa"/>
              <w:left w:w="100" w:type="dxa"/>
              <w:bottom w:w="80" w:type="dxa"/>
              <w:right w:w="100" w:type="dxa"/>
            </w:tcMar>
            <w:vAlign w:val="center"/>
          </w:tcPr>
          <w:p w14:paraId="15D04C88" w14:textId="24B26816" w:rsidR="00793EF7" w:rsidRDefault="00AD564E">
            <w:r>
              <w:rPr>
                <w:sz w:val="18"/>
              </w:rPr>
              <w:t>Upon submission and acceptance of the ES</w:t>
            </w:r>
            <w:r w:rsidR="00876F7F">
              <w:rPr>
                <w:sz w:val="18"/>
              </w:rPr>
              <w:t>MS</w:t>
            </w:r>
            <w:r>
              <w:rPr>
                <w:sz w:val="18"/>
              </w:rPr>
              <w:t xml:space="preserve">, GESI </w:t>
            </w:r>
            <w:r w:rsidR="00876F7F">
              <w:rPr>
                <w:sz w:val="18"/>
              </w:rPr>
              <w:t>Action</w:t>
            </w:r>
            <w:r>
              <w:rPr>
                <w:sz w:val="18"/>
              </w:rPr>
              <w:t xml:space="preserve"> </w:t>
            </w:r>
            <w:r w:rsidR="00876F7F">
              <w:rPr>
                <w:sz w:val="18"/>
              </w:rPr>
              <w:t>P</w:t>
            </w:r>
            <w:r>
              <w:rPr>
                <w:sz w:val="18"/>
              </w:rPr>
              <w:t xml:space="preserve">lan, Supplier Code of Conduct package </w:t>
            </w:r>
            <w:proofErr w:type="gramStart"/>
            <w:r>
              <w:rPr>
                <w:sz w:val="18"/>
              </w:rPr>
              <w:t>and</w:t>
            </w:r>
            <w:r w:rsidR="00051663">
              <w:rPr>
                <w:sz w:val="18"/>
              </w:rPr>
              <w:t>,</w:t>
            </w:r>
            <w:proofErr w:type="gramEnd"/>
            <w:r w:rsidR="00051663">
              <w:rPr>
                <w:sz w:val="18"/>
              </w:rPr>
              <w:t xml:space="preserve"> OHS Policy </w:t>
            </w:r>
            <w:proofErr w:type="gramStart"/>
            <w:r w:rsidR="00051663">
              <w:rPr>
                <w:sz w:val="18"/>
              </w:rPr>
              <w:t>&amp;  SOPs</w:t>
            </w:r>
            <w:proofErr w:type="gramEnd"/>
            <w:r w:rsidR="00051663">
              <w:rPr>
                <w:sz w:val="18"/>
              </w:rPr>
              <w:t>, Biodiversity &amp; CRVA report</w:t>
            </w:r>
          </w:p>
        </w:tc>
        <w:tc>
          <w:tcPr>
            <w:tcW w:w="2109" w:type="dxa"/>
            <w:shd w:val="clear" w:color="auto" w:fill="FFFFFF"/>
            <w:tcMar>
              <w:top w:w="80" w:type="dxa"/>
              <w:left w:w="100" w:type="dxa"/>
              <w:bottom w:w="80" w:type="dxa"/>
              <w:right w:w="100" w:type="dxa"/>
            </w:tcMar>
            <w:vAlign w:val="center"/>
          </w:tcPr>
          <w:p w14:paraId="7314AC02" w14:textId="77777777" w:rsidR="00793EF7" w:rsidRDefault="00AD564E">
            <w:r>
              <w:rPr>
                <w:sz w:val="18"/>
              </w:rPr>
              <w:t>20%</w:t>
            </w:r>
          </w:p>
        </w:tc>
      </w:tr>
      <w:tr w:rsidR="00793EF7" w14:paraId="7FA24BD8" w14:textId="77777777" w:rsidTr="00876F7F">
        <w:trPr>
          <w:jc w:val="center"/>
        </w:trPr>
        <w:tc>
          <w:tcPr>
            <w:tcW w:w="1669" w:type="dxa"/>
            <w:shd w:val="clear" w:color="auto" w:fill="F8FBFD"/>
            <w:tcMar>
              <w:top w:w="80" w:type="dxa"/>
              <w:left w:w="100" w:type="dxa"/>
              <w:bottom w:w="80" w:type="dxa"/>
              <w:right w:w="100" w:type="dxa"/>
            </w:tcMar>
            <w:vAlign w:val="center"/>
          </w:tcPr>
          <w:p w14:paraId="5A676580" w14:textId="77777777" w:rsidR="00793EF7" w:rsidRDefault="00AD564E">
            <w:r>
              <w:rPr>
                <w:sz w:val="18"/>
              </w:rPr>
              <w:t>Phase 4</w:t>
            </w:r>
          </w:p>
        </w:tc>
        <w:tc>
          <w:tcPr>
            <w:tcW w:w="3402" w:type="dxa"/>
            <w:shd w:val="clear" w:color="auto" w:fill="F8FBFD"/>
            <w:tcMar>
              <w:top w:w="80" w:type="dxa"/>
              <w:left w:w="100" w:type="dxa"/>
              <w:bottom w:w="80" w:type="dxa"/>
              <w:right w:w="100" w:type="dxa"/>
            </w:tcMar>
            <w:vAlign w:val="center"/>
          </w:tcPr>
          <w:p w14:paraId="4BADC2C8" w14:textId="0836DD06" w:rsidR="00793EF7" w:rsidRDefault="00AD564E">
            <w:r>
              <w:rPr>
                <w:sz w:val="18"/>
              </w:rPr>
              <w:t xml:space="preserve">Final consolidated report and </w:t>
            </w:r>
            <w:r w:rsidR="00051663">
              <w:rPr>
                <w:sz w:val="18"/>
              </w:rPr>
              <w:t xml:space="preserve">training </w:t>
            </w:r>
            <w:r>
              <w:rPr>
                <w:sz w:val="18"/>
              </w:rPr>
              <w:t>presentation</w:t>
            </w:r>
          </w:p>
        </w:tc>
        <w:tc>
          <w:tcPr>
            <w:tcW w:w="3118" w:type="dxa"/>
            <w:shd w:val="clear" w:color="auto" w:fill="F8FBFD"/>
            <w:tcMar>
              <w:top w:w="80" w:type="dxa"/>
              <w:left w:w="100" w:type="dxa"/>
              <w:bottom w:w="80" w:type="dxa"/>
              <w:right w:w="100" w:type="dxa"/>
            </w:tcMar>
            <w:vAlign w:val="center"/>
          </w:tcPr>
          <w:p w14:paraId="64163FFB" w14:textId="66765A8F" w:rsidR="00793EF7" w:rsidRDefault="00AD564E">
            <w:r>
              <w:rPr>
                <w:sz w:val="18"/>
              </w:rPr>
              <w:t>Upon approval of the final integrated report and close-out presentation</w:t>
            </w:r>
            <w:r w:rsidR="00051663">
              <w:rPr>
                <w:sz w:val="18"/>
              </w:rPr>
              <w:t xml:space="preserve"> to the management of NFP</w:t>
            </w:r>
            <w:r>
              <w:rPr>
                <w:sz w:val="18"/>
              </w:rPr>
              <w:t>.</w:t>
            </w:r>
          </w:p>
        </w:tc>
        <w:tc>
          <w:tcPr>
            <w:tcW w:w="2109" w:type="dxa"/>
            <w:shd w:val="clear" w:color="auto" w:fill="F8FBFD"/>
            <w:tcMar>
              <w:top w:w="80" w:type="dxa"/>
              <w:left w:w="100" w:type="dxa"/>
              <w:bottom w:w="80" w:type="dxa"/>
              <w:right w:w="100" w:type="dxa"/>
            </w:tcMar>
            <w:vAlign w:val="center"/>
          </w:tcPr>
          <w:p w14:paraId="44A16B68" w14:textId="77777777" w:rsidR="00793EF7" w:rsidRDefault="00AD564E">
            <w:r>
              <w:rPr>
                <w:sz w:val="18"/>
              </w:rPr>
              <w:t>20%</w:t>
            </w:r>
          </w:p>
        </w:tc>
      </w:tr>
    </w:tbl>
    <w:p w14:paraId="1044A039" w14:textId="77777777" w:rsidR="00793EF7" w:rsidRDefault="00793EF7"/>
    <w:p w14:paraId="33C35CD6" w14:textId="77777777" w:rsidR="00793EF7" w:rsidRDefault="00AD564E">
      <w:pPr>
        <w:pStyle w:val="Heading1"/>
      </w:pPr>
      <w:r>
        <w:lastRenderedPageBreak/>
        <w:t>12. Confidentiality and Ownership</w:t>
      </w:r>
    </w:p>
    <w:p w14:paraId="68CD4512" w14:textId="77777777" w:rsidR="00793EF7" w:rsidRDefault="00AD564E">
      <w:pPr>
        <w:spacing w:after="80"/>
      </w:pPr>
      <w:r>
        <w:t>All reports, data, tools and materials produced under this assignment shall remain the property of NFP and DFCD-OF and shall be treated as confidential unless otherwise agreed in writing.</w:t>
      </w:r>
    </w:p>
    <w:p w14:paraId="25DFC0BF" w14:textId="77777777" w:rsidR="00793EF7" w:rsidRDefault="00AD564E">
      <w:pPr>
        <w:spacing w:after="80"/>
      </w:pPr>
      <w:r>
        <w:t>The consultant shall not disclose or reuse assignment information for any other purpose without prior written approval from NFP.</w:t>
      </w:r>
    </w:p>
    <w:p w14:paraId="40743756" w14:textId="77777777" w:rsidR="00051663" w:rsidRDefault="00051663">
      <w:pPr>
        <w:spacing w:after="80"/>
      </w:pPr>
    </w:p>
    <w:p w14:paraId="13D0CCD2" w14:textId="0F0F6458" w:rsidR="00051663" w:rsidRPr="00051663" w:rsidRDefault="00051663" w:rsidP="00051663">
      <w:pPr>
        <w:spacing w:after="80"/>
        <w:rPr>
          <w:rFonts w:asciiTheme="majorHAnsi" w:eastAsiaTheme="majorEastAsia" w:hAnsiTheme="majorHAnsi" w:cstheme="majorBidi"/>
          <w:b/>
          <w:bCs/>
          <w:color w:val="1F4E79"/>
          <w:sz w:val="26"/>
          <w:szCs w:val="28"/>
        </w:rPr>
      </w:pPr>
      <w:r w:rsidRPr="00051663">
        <w:rPr>
          <w:rFonts w:asciiTheme="majorHAnsi" w:eastAsiaTheme="majorEastAsia" w:hAnsiTheme="majorHAnsi" w:cstheme="majorBidi"/>
          <w:b/>
          <w:bCs/>
          <w:color w:val="1F4E79"/>
          <w:sz w:val="26"/>
          <w:szCs w:val="28"/>
        </w:rPr>
        <w:t>13. Submission of Applications</w:t>
      </w:r>
    </w:p>
    <w:p w14:paraId="4C4E5F71" w14:textId="11B35321" w:rsidR="00051663" w:rsidRPr="00051663" w:rsidRDefault="00051663" w:rsidP="00051663">
      <w:pPr>
        <w:spacing w:after="80"/>
        <w:rPr>
          <w:b/>
          <w:bCs/>
          <w:lang w:val="en"/>
        </w:rPr>
      </w:pPr>
      <w:r w:rsidRPr="00051663">
        <w:rPr>
          <w:b/>
          <w:bCs/>
          <w:lang w:val="en"/>
        </w:rPr>
        <w:t xml:space="preserve"> How to Submit</w:t>
      </w:r>
    </w:p>
    <w:p w14:paraId="75B05301" w14:textId="77777777" w:rsidR="00051663" w:rsidRPr="00051663" w:rsidRDefault="00051663" w:rsidP="00051663">
      <w:pPr>
        <w:spacing w:after="80"/>
        <w:rPr>
          <w:lang w:val="en"/>
        </w:rPr>
      </w:pPr>
      <w:r w:rsidRPr="00051663">
        <w:rPr>
          <w:lang w:val="en"/>
        </w:rPr>
        <w:t>Interested consultants/firms shall submit applications through both channels below:</w:t>
      </w:r>
    </w:p>
    <w:p w14:paraId="086D4F38" w14:textId="64215E06" w:rsidR="00051663" w:rsidRPr="00051663" w:rsidRDefault="00051663" w:rsidP="00051663">
      <w:pPr>
        <w:spacing w:after="80"/>
        <w:rPr>
          <w:lang w:val="en"/>
        </w:rPr>
      </w:pPr>
      <w:r w:rsidRPr="00051663">
        <w:rPr>
          <w:lang w:val="en"/>
        </w:rPr>
        <w:t xml:space="preserve">1) Email submission to </w:t>
      </w:r>
      <w:r>
        <w:rPr>
          <w:lang w:val="en"/>
        </w:rPr>
        <w:t>Nile Fresh Produce</w:t>
      </w:r>
      <w:r w:rsidRPr="00051663">
        <w:rPr>
          <w:lang w:val="en"/>
        </w:rPr>
        <w:t xml:space="preserve"> (</w:t>
      </w:r>
      <w:r>
        <w:rPr>
          <w:lang w:val="en"/>
        </w:rPr>
        <w:t>NFP</w:t>
      </w:r>
      <w:r w:rsidRPr="00051663">
        <w:rPr>
          <w:lang w:val="en"/>
        </w:rPr>
        <w:t>):</w:t>
      </w:r>
    </w:p>
    <w:p w14:paraId="6484C293" w14:textId="251F344F" w:rsidR="00051663" w:rsidRPr="00051663" w:rsidRDefault="00051663" w:rsidP="00051663">
      <w:pPr>
        <w:spacing w:after="80"/>
        <w:rPr>
          <w:b/>
          <w:bCs/>
          <w:lang w:val="en"/>
        </w:rPr>
      </w:pPr>
      <w:r w:rsidRPr="00051663">
        <w:rPr>
          <w:lang w:val="en"/>
        </w:rPr>
        <w:t xml:space="preserve">• Send applications to: </w:t>
      </w:r>
      <w:hyperlink r:id="rId8" w:history="1">
        <w:r w:rsidR="00B71C7B" w:rsidRPr="0070165A">
          <w:rPr>
            <w:rStyle w:val="Hyperlink"/>
          </w:rPr>
          <w:t>info@nilefreshproduce.com</w:t>
        </w:r>
      </w:hyperlink>
      <w:r w:rsidR="00B71C7B">
        <w:t xml:space="preserve"> </w:t>
      </w:r>
    </w:p>
    <w:p w14:paraId="564155C8" w14:textId="77777777" w:rsidR="00051663" w:rsidRPr="00051663" w:rsidRDefault="00051663" w:rsidP="00051663">
      <w:pPr>
        <w:spacing w:after="80"/>
        <w:rPr>
          <w:lang w:val="en"/>
        </w:rPr>
      </w:pPr>
      <w:r w:rsidRPr="00051663">
        <w:rPr>
          <w:lang w:val="en"/>
        </w:rPr>
        <w:t>2) Online submission via SNV Smart Recruiter platform:</w:t>
      </w:r>
    </w:p>
    <w:p w14:paraId="2384CB66" w14:textId="5F0FCAB4" w:rsidR="00051663" w:rsidRDefault="00051663" w:rsidP="00051663">
      <w:pPr>
        <w:spacing w:after="80"/>
        <w:rPr>
          <w:u w:val="single"/>
        </w:rPr>
      </w:pPr>
      <w:r w:rsidRPr="00051663">
        <w:rPr>
          <w:lang w:val="en"/>
        </w:rPr>
        <w:t xml:space="preserve">• Submit concurrently via SNV Smart Recruiter: </w:t>
      </w:r>
      <w:r w:rsidRPr="00051663">
        <w:rPr>
          <w:lang w:val="en"/>
        </w:rPr>
        <w:br/>
      </w:r>
      <w:hyperlink r:id="rId9" w:history="1">
        <w:r w:rsidR="00DB7FF3" w:rsidRPr="00A704AE">
          <w:rPr>
            <w:rStyle w:val="Hyperlink"/>
          </w:rPr>
          <w:t>https://smrtr.io/xQHxv</w:t>
        </w:r>
      </w:hyperlink>
    </w:p>
    <w:p w14:paraId="387BD78E" w14:textId="16037708" w:rsidR="00051663" w:rsidRPr="00051663" w:rsidRDefault="00051663" w:rsidP="00051663">
      <w:pPr>
        <w:spacing w:after="80"/>
        <w:rPr>
          <w:lang w:val="en"/>
        </w:rPr>
      </w:pPr>
      <w:r w:rsidRPr="00051663">
        <w:rPr>
          <w:lang w:val="en"/>
        </w:rPr>
        <w:t xml:space="preserve"> Please note that the upload </w:t>
      </w:r>
      <w:r>
        <w:rPr>
          <w:lang w:val="en"/>
        </w:rPr>
        <w:t xml:space="preserve">on smart recruit </w:t>
      </w:r>
      <w:r w:rsidRPr="00051663">
        <w:rPr>
          <w:lang w:val="en"/>
        </w:rPr>
        <w:t>should happen in the CV column, clearly marking the        documents as technical proposal, and financial proposal.</w:t>
      </w:r>
    </w:p>
    <w:p w14:paraId="020931B7" w14:textId="77777777" w:rsidR="00051663" w:rsidRPr="00051663" w:rsidRDefault="00051663" w:rsidP="00051663">
      <w:pPr>
        <w:spacing w:after="80"/>
        <w:rPr>
          <w:lang w:val="en"/>
        </w:rPr>
      </w:pPr>
      <w:r w:rsidRPr="00051663">
        <w:rPr>
          <w:lang w:val="en"/>
        </w:rPr>
        <w:t xml:space="preserve">Important: </w:t>
      </w:r>
      <w:r w:rsidRPr="00051663">
        <w:rPr>
          <w:b/>
          <w:bCs/>
          <w:lang w:val="en"/>
        </w:rPr>
        <w:t>Applications must be submitted via both channels.</w:t>
      </w:r>
      <w:r w:rsidRPr="00051663">
        <w:rPr>
          <w:lang w:val="en"/>
        </w:rPr>
        <w:t xml:space="preserve"> </w:t>
      </w:r>
    </w:p>
    <w:p w14:paraId="35C4E5C4" w14:textId="77777777" w:rsidR="00051663" w:rsidRPr="00051663" w:rsidRDefault="00051663" w:rsidP="00051663">
      <w:pPr>
        <w:spacing w:after="80"/>
        <w:rPr>
          <w:b/>
          <w:bCs/>
          <w:lang w:val="en"/>
        </w:rPr>
      </w:pPr>
      <w:r w:rsidRPr="00051663">
        <w:rPr>
          <w:b/>
          <w:bCs/>
          <w:lang w:val="en"/>
        </w:rPr>
        <w:t>9.2 Procurement Timelines</w:t>
      </w:r>
    </w:p>
    <w:p w14:paraId="5DAF5118" w14:textId="64E49F99" w:rsidR="00051663" w:rsidRPr="00051663" w:rsidRDefault="00051663" w:rsidP="00051663">
      <w:pPr>
        <w:spacing w:after="80"/>
        <w:rPr>
          <w:lang w:val="en"/>
        </w:rPr>
      </w:pPr>
      <w:r w:rsidRPr="00051663">
        <w:rPr>
          <w:lang w:val="en"/>
        </w:rPr>
        <w:t xml:space="preserve">• Call publication date: 20 </w:t>
      </w:r>
      <w:r>
        <w:rPr>
          <w:lang w:val="en"/>
        </w:rPr>
        <w:t>March</w:t>
      </w:r>
      <w:r w:rsidRPr="00051663">
        <w:rPr>
          <w:lang w:val="en"/>
        </w:rPr>
        <w:t xml:space="preserve"> 2026</w:t>
      </w:r>
    </w:p>
    <w:p w14:paraId="29C6DBBD" w14:textId="77777777" w:rsidR="00051663" w:rsidRPr="00051663" w:rsidRDefault="00051663" w:rsidP="00051663">
      <w:pPr>
        <w:spacing w:after="80"/>
        <w:rPr>
          <w:lang w:val="en"/>
        </w:rPr>
      </w:pPr>
      <w:r w:rsidRPr="00051663">
        <w:rPr>
          <w:lang w:val="en"/>
        </w:rPr>
        <w:t>• Application window: 10 working days</w:t>
      </w:r>
    </w:p>
    <w:p w14:paraId="4CE8A937" w14:textId="38453C65" w:rsidR="00051663" w:rsidRPr="00051663" w:rsidRDefault="00051663" w:rsidP="00051663">
      <w:pPr>
        <w:spacing w:after="80"/>
        <w:rPr>
          <w:lang w:val="en"/>
        </w:rPr>
      </w:pPr>
      <w:r w:rsidRPr="00051663">
        <w:rPr>
          <w:lang w:val="en"/>
        </w:rPr>
        <w:t xml:space="preserve">• Submission deadline: </w:t>
      </w:r>
      <w:r>
        <w:rPr>
          <w:lang w:val="en"/>
        </w:rPr>
        <w:t>3</w:t>
      </w:r>
      <w:r w:rsidRPr="00051663">
        <w:rPr>
          <w:lang w:val="en"/>
        </w:rPr>
        <w:t xml:space="preserve"> </w:t>
      </w:r>
      <w:r w:rsidR="0057706F">
        <w:rPr>
          <w:lang w:val="en"/>
        </w:rPr>
        <w:t>April</w:t>
      </w:r>
      <w:r w:rsidRPr="00051663">
        <w:rPr>
          <w:lang w:val="en"/>
        </w:rPr>
        <w:t xml:space="preserve"> 2026, 23:59 (EAT). Late submissions will not be considered.</w:t>
      </w:r>
    </w:p>
    <w:p w14:paraId="14B08EBB" w14:textId="77777777" w:rsidR="00051663" w:rsidRPr="00051663" w:rsidRDefault="00051663" w:rsidP="00051663">
      <w:pPr>
        <w:spacing w:after="80"/>
        <w:rPr>
          <w:lang w:val="en"/>
        </w:rPr>
      </w:pPr>
      <w:r w:rsidRPr="00051663">
        <w:rPr>
          <w:lang w:val="en"/>
        </w:rPr>
        <w:t>• Expected assignment duration: 30 days from contract signature (one month)</w:t>
      </w:r>
    </w:p>
    <w:p w14:paraId="5460570D" w14:textId="77777777" w:rsidR="00051663" w:rsidRPr="00051663" w:rsidRDefault="00051663" w:rsidP="00051663">
      <w:pPr>
        <w:spacing w:after="80"/>
        <w:rPr>
          <w:lang w:val="en"/>
        </w:rPr>
      </w:pPr>
      <w:r w:rsidRPr="00051663">
        <w:rPr>
          <w:lang w:val="en"/>
        </w:rPr>
        <w:t>• Proposal validity: 60 days from the submission deadline</w:t>
      </w:r>
    </w:p>
    <w:p w14:paraId="33F62A76" w14:textId="77777777" w:rsidR="00051663" w:rsidRDefault="00051663">
      <w:pPr>
        <w:spacing w:after="80"/>
      </w:pPr>
    </w:p>
    <w:sectPr w:rsidR="00051663" w:rsidSect="00034616">
      <w:footerReference w:type="default" r:id="rId10"/>
      <w:pgSz w:w="12240" w:h="15840"/>
      <w:pgMar w:top="1134" w:right="1134"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4BA4" w14:textId="77777777" w:rsidR="00FD4CCD" w:rsidRDefault="00FD4CCD">
      <w:pPr>
        <w:spacing w:after="0" w:line="240" w:lineRule="auto"/>
      </w:pPr>
      <w:r>
        <w:separator/>
      </w:r>
    </w:p>
  </w:endnote>
  <w:endnote w:type="continuationSeparator" w:id="0">
    <w:p w14:paraId="38E8322A" w14:textId="77777777" w:rsidR="00FD4CCD" w:rsidRDefault="00FD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6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20585" w14:textId="77777777" w:rsidR="00793EF7" w:rsidRDefault="00AD564E">
    <w:pPr>
      <w:pStyle w:val="Footer"/>
      <w:jc w:val="center"/>
    </w:pPr>
    <w:r>
      <w:t xml:space="preserve">Page </w:t>
    </w:r>
    <w:r>
      <w:fldChar w:fldCharType="begin"/>
    </w:r>
    <w:r>
      <w:instrText>PAGE</w:instrText>
    </w:r>
    <w:r>
      <w:fldChar w:fldCharType="separate"/>
    </w:r>
    <w:r w:rsidR="001F4E7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2E15D" w14:textId="77777777" w:rsidR="00FD4CCD" w:rsidRDefault="00FD4CCD">
      <w:pPr>
        <w:spacing w:after="0" w:line="240" w:lineRule="auto"/>
      </w:pPr>
      <w:r>
        <w:separator/>
      </w:r>
    </w:p>
  </w:footnote>
  <w:footnote w:type="continuationSeparator" w:id="0">
    <w:p w14:paraId="278AC350" w14:textId="77777777" w:rsidR="00FD4CCD" w:rsidRDefault="00FD4C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80407AF8"/>
    <w:lvl w:ilvl="0">
      <w:start w:val="1"/>
      <w:numFmt w:val="bullet"/>
      <w:pStyle w:val="ListBullet"/>
      <w:lvlText w:val=""/>
      <w:lvlJc w:val="left"/>
      <w:pPr>
        <w:tabs>
          <w:tab w:val="num" w:pos="360"/>
        </w:tabs>
        <w:ind w:left="360" w:hanging="360"/>
      </w:pPr>
      <w:rPr>
        <w:rFonts w:ascii="Symbol" w:hAnsi="Symbol" w:hint="default"/>
      </w:rPr>
    </w:lvl>
  </w:abstractNum>
  <w:num w:numId="1" w16cid:durableId="1168906198">
    <w:abstractNumId w:val="8"/>
  </w:num>
  <w:num w:numId="2" w16cid:durableId="1677725035">
    <w:abstractNumId w:val="6"/>
  </w:num>
  <w:num w:numId="3" w16cid:durableId="2018073946">
    <w:abstractNumId w:val="5"/>
  </w:num>
  <w:num w:numId="4" w16cid:durableId="664436266">
    <w:abstractNumId w:val="4"/>
  </w:num>
  <w:num w:numId="5" w16cid:durableId="469711975">
    <w:abstractNumId w:val="7"/>
  </w:num>
  <w:num w:numId="6" w16cid:durableId="1656297357">
    <w:abstractNumId w:val="3"/>
  </w:num>
  <w:num w:numId="7" w16cid:durableId="518469470">
    <w:abstractNumId w:val="2"/>
  </w:num>
  <w:num w:numId="8" w16cid:durableId="644428818">
    <w:abstractNumId w:val="1"/>
  </w:num>
  <w:num w:numId="9" w16cid:durableId="925190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0407"/>
    <w:rsid w:val="00034616"/>
    <w:rsid w:val="00051663"/>
    <w:rsid w:val="0006063C"/>
    <w:rsid w:val="000A454C"/>
    <w:rsid w:val="0015074B"/>
    <w:rsid w:val="00153C50"/>
    <w:rsid w:val="001F4BE5"/>
    <w:rsid w:val="001F4E7E"/>
    <w:rsid w:val="0029639D"/>
    <w:rsid w:val="00297090"/>
    <w:rsid w:val="00326F90"/>
    <w:rsid w:val="003A198C"/>
    <w:rsid w:val="004F1049"/>
    <w:rsid w:val="0057706F"/>
    <w:rsid w:val="005E4089"/>
    <w:rsid w:val="0077344D"/>
    <w:rsid w:val="00793EF7"/>
    <w:rsid w:val="007C1723"/>
    <w:rsid w:val="00876F7F"/>
    <w:rsid w:val="00AA1D8D"/>
    <w:rsid w:val="00AD564E"/>
    <w:rsid w:val="00B47730"/>
    <w:rsid w:val="00B71C7B"/>
    <w:rsid w:val="00BB0C74"/>
    <w:rsid w:val="00C3191A"/>
    <w:rsid w:val="00C32D9D"/>
    <w:rsid w:val="00CB0664"/>
    <w:rsid w:val="00DB7FF3"/>
    <w:rsid w:val="00FC693F"/>
    <w:rsid w:val="00FD4CCD"/>
    <w:rsid w:val="00FD5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C3748D"/>
  <w14:defaultImageDpi w14:val="330"/>
  <w15:docId w15:val="{0A854A66-D0EC-4FB6-A200-1903CCFD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F4E79"/>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F4E79"/>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F4E79"/>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51663"/>
    <w:rPr>
      <w:color w:val="0000FF" w:themeColor="hyperlink"/>
      <w:u w:val="single"/>
    </w:rPr>
  </w:style>
  <w:style w:type="character" w:styleId="UnresolvedMention">
    <w:name w:val="Unresolved Mention"/>
    <w:basedOn w:val="DefaultParagraphFont"/>
    <w:uiPriority w:val="99"/>
    <w:semiHidden/>
    <w:unhideWhenUsed/>
    <w:rsid w:val="000516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ilefreshprodu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mrtr.io/xQHx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2659</Words>
  <Characters>17417</Characters>
  <Application>Microsoft Office Word</Application>
  <DocSecurity>4</DocSecurity>
  <Lines>295</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Nyauncho, Stephanie</cp:lastModifiedBy>
  <cp:revision>2</cp:revision>
  <dcterms:created xsi:type="dcterms:W3CDTF">2026-03-19T13:08:00Z</dcterms:created>
  <dcterms:modified xsi:type="dcterms:W3CDTF">2026-03-19T13:08:00Z</dcterms:modified>
  <cp:category/>
</cp:coreProperties>
</file>