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8FE" w:themeFill="background2"/>
        <w:tblCellMar>
          <w:left w:w="57" w:type="dxa"/>
          <w:right w:w="57" w:type="dxa"/>
        </w:tblCellMar>
        <w:tblLook w:val="04A0" w:firstRow="1" w:lastRow="0" w:firstColumn="1" w:lastColumn="0" w:noHBand="0" w:noVBand="1"/>
      </w:tblPr>
      <w:tblGrid>
        <w:gridCol w:w="2268"/>
        <w:gridCol w:w="6581"/>
      </w:tblGrid>
      <w:tr w:rsidR="002623EB" w:rsidRPr="00FB168D" w14:paraId="7A8B71AE" w14:textId="77777777" w:rsidTr="00C71AC2">
        <w:tc>
          <w:tcPr>
            <w:tcW w:w="2268" w:type="dxa"/>
            <w:shd w:val="clear" w:color="auto" w:fill="EFF8FE" w:themeFill="background2"/>
          </w:tcPr>
          <w:p w14:paraId="4B590F44" w14:textId="77777777" w:rsidR="002623EB" w:rsidRPr="00FB168D" w:rsidRDefault="002623EB" w:rsidP="009F6019">
            <w:pPr>
              <w:autoSpaceDE w:val="0"/>
              <w:autoSpaceDN w:val="0"/>
              <w:adjustRightInd w:val="0"/>
              <w:rPr>
                <w:rFonts w:cstheme="minorHAnsi"/>
                <w:b/>
                <w:sz w:val="22"/>
                <w:szCs w:val="22"/>
              </w:rPr>
            </w:pPr>
            <w:r w:rsidRPr="00FB168D">
              <w:rPr>
                <w:rFonts w:cstheme="minorHAnsi"/>
                <w:b/>
                <w:sz w:val="22"/>
                <w:szCs w:val="22"/>
              </w:rPr>
              <w:t>Organisation</w:t>
            </w:r>
          </w:p>
        </w:tc>
        <w:tc>
          <w:tcPr>
            <w:tcW w:w="6581" w:type="dxa"/>
            <w:shd w:val="clear" w:color="auto" w:fill="EFF8FE" w:themeFill="background2"/>
          </w:tcPr>
          <w:p w14:paraId="32AB8EA0" w14:textId="33BC02D4" w:rsidR="002623EB" w:rsidRPr="00FB168D" w:rsidRDefault="002623EB" w:rsidP="009F6019">
            <w:pPr>
              <w:autoSpaceDE w:val="0"/>
              <w:autoSpaceDN w:val="0"/>
              <w:adjustRightInd w:val="0"/>
              <w:jc w:val="both"/>
              <w:rPr>
                <w:rFonts w:cstheme="minorHAnsi"/>
                <w:b/>
                <w:sz w:val="22"/>
                <w:szCs w:val="22"/>
              </w:rPr>
            </w:pPr>
            <w:r w:rsidRPr="00FB168D">
              <w:rPr>
                <w:rFonts w:cstheme="minorHAnsi"/>
                <w:b/>
                <w:sz w:val="22"/>
                <w:szCs w:val="22"/>
              </w:rPr>
              <w:t xml:space="preserve">SNV </w:t>
            </w:r>
            <w:r w:rsidR="007B23F1" w:rsidRPr="00FB168D">
              <w:rPr>
                <w:rFonts w:cstheme="minorHAnsi"/>
                <w:b/>
                <w:sz w:val="22"/>
                <w:szCs w:val="22"/>
              </w:rPr>
              <w:t>Mali</w:t>
            </w:r>
          </w:p>
        </w:tc>
      </w:tr>
      <w:tr w:rsidR="002623EB" w:rsidRPr="00FB168D" w14:paraId="63FB6A2E" w14:textId="77777777" w:rsidTr="00C71AC2">
        <w:tc>
          <w:tcPr>
            <w:tcW w:w="2268" w:type="dxa"/>
            <w:shd w:val="clear" w:color="auto" w:fill="EFF8FE" w:themeFill="background2"/>
          </w:tcPr>
          <w:p w14:paraId="52950D15" w14:textId="5E56E118" w:rsidR="002623EB" w:rsidRPr="00FB168D" w:rsidRDefault="007B23F1" w:rsidP="009F6019">
            <w:pPr>
              <w:autoSpaceDE w:val="0"/>
              <w:autoSpaceDN w:val="0"/>
              <w:adjustRightInd w:val="0"/>
              <w:rPr>
                <w:rFonts w:cstheme="minorHAnsi"/>
                <w:b/>
                <w:sz w:val="22"/>
                <w:szCs w:val="22"/>
              </w:rPr>
            </w:pPr>
            <w:r w:rsidRPr="00FB168D">
              <w:rPr>
                <w:rFonts w:cstheme="minorHAnsi"/>
                <w:b/>
                <w:sz w:val="22"/>
                <w:szCs w:val="22"/>
              </w:rPr>
              <w:t>Projet</w:t>
            </w:r>
          </w:p>
        </w:tc>
        <w:tc>
          <w:tcPr>
            <w:tcW w:w="6581" w:type="dxa"/>
            <w:shd w:val="clear" w:color="auto" w:fill="EFF8FE" w:themeFill="background2"/>
          </w:tcPr>
          <w:p w14:paraId="3B23B59F" w14:textId="172FA024" w:rsidR="002623EB" w:rsidRPr="00FB168D" w:rsidRDefault="00B53BBD" w:rsidP="009F6019">
            <w:pPr>
              <w:autoSpaceDE w:val="0"/>
              <w:autoSpaceDN w:val="0"/>
              <w:adjustRightInd w:val="0"/>
              <w:jc w:val="both"/>
              <w:rPr>
                <w:rFonts w:cstheme="minorHAnsi"/>
                <w:bCs/>
                <w:sz w:val="22"/>
                <w:szCs w:val="22"/>
              </w:rPr>
            </w:pPr>
            <w:r w:rsidRPr="00FB168D">
              <w:rPr>
                <w:rFonts w:cstheme="minorHAnsi"/>
                <w:bCs/>
                <w:sz w:val="22"/>
                <w:szCs w:val="22"/>
              </w:rPr>
              <w:t>Projet Pilote : Smoke Free Zone</w:t>
            </w:r>
            <w:r w:rsidR="00C5584C">
              <w:rPr>
                <w:rFonts w:cstheme="minorHAnsi"/>
                <w:bCs/>
                <w:sz w:val="22"/>
                <w:szCs w:val="22"/>
              </w:rPr>
              <w:t>s</w:t>
            </w:r>
            <w:r w:rsidR="00781AE2">
              <w:rPr>
                <w:rFonts w:cstheme="minorHAnsi"/>
                <w:bCs/>
                <w:sz w:val="22"/>
                <w:szCs w:val="22"/>
              </w:rPr>
              <w:t xml:space="preserve"> </w:t>
            </w:r>
            <w:r w:rsidRPr="00FB168D">
              <w:rPr>
                <w:rFonts w:cstheme="minorHAnsi"/>
                <w:bCs/>
                <w:sz w:val="22"/>
                <w:szCs w:val="22"/>
              </w:rPr>
              <w:t>à Bamako</w:t>
            </w:r>
          </w:p>
        </w:tc>
      </w:tr>
      <w:tr w:rsidR="002623EB" w:rsidRPr="00FB168D" w14:paraId="56D638A5" w14:textId="77777777" w:rsidTr="00C71AC2">
        <w:tc>
          <w:tcPr>
            <w:tcW w:w="2268" w:type="dxa"/>
            <w:shd w:val="clear" w:color="auto" w:fill="EFF8FE" w:themeFill="background2"/>
          </w:tcPr>
          <w:p w14:paraId="3F25433F" w14:textId="03547ED5" w:rsidR="002623EB" w:rsidRPr="00FB168D" w:rsidRDefault="002623EB" w:rsidP="009F6019">
            <w:pPr>
              <w:autoSpaceDE w:val="0"/>
              <w:autoSpaceDN w:val="0"/>
              <w:adjustRightInd w:val="0"/>
              <w:rPr>
                <w:rFonts w:cstheme="minorHAnsi"/>
                <w:b/>
                <w:sz w:val="22"/>
                <w:szCs w:val="22"/>
              </w:rPr>
            </w:pPr>
            <w:r w:rsidRPr="00FB168D">
              <w:rPr>
                <w:rFonts w:cstheme="minorHAnsi"/>
                <w:b/>
                <w:sz w:val="22"/>
                <w:szCs w:val="22"/>
              </w:rPr>
              <w:t>A</w:t>
            </w:r>
            <w:r w:rsidR="007B23F1" w:rsidRPr="00FB168D">
              <w:rPr>
                <w:rFonts w:cstheme="minorHAnsi"/>
                <w:b/>
                <w:sz w:val="22"/>
                <w:szCs w:val="22"/>
              </w:rPr>
              <w:t>ctivité</w:t>
            </w:r>
            <w:r w:rsidRPr="00FB168D">
              <w:rPr>
                <w:rFonts w:cstheme="minorHAnsi"/>
                <w:b/>
                <w:sz w:val="22"/>
                <w:szCs w:val="22"/>
              </w:rPr>
              <w:t xml:space="preserve">  </w:t>
            </w:r>
          </w:p>
        </w:tc>
        <w:tc>
          <w:tcPr>
            <w:tcW w:w="6581" w:type="dxa"/>
            <w:shd w:val="clear" w:color="auto" w:fill="EFF8FE" w:themeFill="background2"/>
          </w:tcPr>
          <w:p w14:paraId="1391AE3E" w14:textId="101C81F6" w:rsidR="002623EB" w:rsidRPr="00FB168D" w:rsidRDefault="0050676F" w:rsidP="009F6019">
            <w:pPr>
              <w:autoSpaceDE w:val="0"/>
              <w:autoSpaceDN w:val="0"/>
              <w:adjustRightInd w:val="0"/>
              <w:jc w:val="both"/>
              <w:rPr>
                <w:rFonts w:cstheme="minorHAnsi"/>
                <w:bCs/>
                <w:sz w:val="22"/>
                <w:szCs w:val="22"/>
              </w:rPr>
            </w:pPr>
            <w:r w:rsidRPr="00FB168D">
              <w:rPr>
                <w:rFonts w:cstheme="minorHAnsi"/>
                <w:bCs/>
                <w:sz w:val="22"/>
                <w:szCs w:val="22"/>
              </w:rPr>
              <w:t>Recrutement d'un</w:t>
            </w:r>
            <w:r w:rsidR="007A05B1" w:rsidRPr="00FB168D">
              <w:rPr>
                <w:rFonts w:cstheme="minorHAnsi"/>
                <w:bCs/>
                <w:sz w:val="22"/>
                <w:szCs w:val="22"/>
              </w:rPr>
              <w:t xml:space="preserve">e Equipe de </w:t>
            </w:r>
            <w:r w:rsidRPr="00FB168D">
              <w:rPr>
                <w:rFonts w:cstheme="minorHAnsi"/>
                <w:bCs/>
                <w:sz w:val="22"/>
                <w:szCs w:val="22"/>
              </w:rPr>
              <w:t>consultant</w:t>
            </w:r>
            <w:r w:rsidR="007A05B1" w:rsidRPr="00FB168D">
              <w:rPr>
                <w:rFonts w:cstheme="minorHAnsi"/>
                <w:bCs/>
                <w:sz w:val="22"/>
                <w:szCs w:val="22"/>
              </w:rPr>
              <w:t>s</w:t>
            </w:r>
            <w:r w:rsidRPr="00FB168D">
              <w:rPr>
                <w:rFonts w:cstheme="minorHAnsi"/>
                <w:bCs/>
                <w:sz w:val="22"/>
                <w:szCs w:val="22"/>
              </w:rPr>
              <w:t xml:space="preserve"> </w:t>
            </w:r>
            <w:r w:rsidR="00494647">
              <w:rPr>
                <w:rFonts w:cstheme="minorHAnsi"/>
                <w:bCs/>
                <w:sz w:val="22"/>
                <w:szCs w:val="22"/>
              </w:rPr>
              <w:t xml:space="preserve">nationaux </w:t>
            </w:r>
            <w:r w:rsidRPr="00FB168D">
              <w:rPr>
                <w:rFonts w:cstheme="minorHAnsi"/>
                <w:bCs/>
                <w:sz w:val="22"/>
                <w:szCs w:val="22"/>
              </w:rPr>
              <w:t>pour la r</w:t>
            </w:r>
            <w:r w:rsidR="00D3619F" w:rsidRPr="00FB168D">
              <w:rPr>
                <w:rFonts w:cstheme="minorHAnsi"/>
                <w:bCs/>
                <w:sz w:val="22"/>
                <w:szCs w:val="22"/>
              </w:rPr>
              <w:t xml:space="preserve">éalisation </w:t>
            </w:r>
            <w:r w:rsidR="00F921A9" w:rsidRPr="00FB168D">
              <w:rPr>
                <w:rFonts w:cstheme="minorHAnsi"/>
                <w:bCs/>
                <w:sz w:val="22"/>
                <w:szCs w:val="22"/>
              </w:rPr>
              <w:t>de l’é</w:t>
            </w:r>
            <w:r w:rsidR="00D3619F" w:rsidRPr="00FB168D">
              <w:rPr>
                <w:rFonts w:cstheme="minorHAnsi"/>
                <w:bCs/>
                <w:sz w:val="22"/>
                <w:szCs w:val="22"/>
              </w:rPr>
              <w:t xml:space="preserve">tude de base du Projet </w:t>
            </w:r>
          </w:p>
        </w:tc>
      </w:tr>
      <w:tr w:rsidR="002623EB" w:rsidRPr="00FB168D" w14:paraId="0977AC40" w14:textId="77777777" w:rsidTr="00C71AC2">
        <w:tc>
          <w:tcPr>
            <w:tcW w:w="2268" w:type="dxa"/>
            <w:shd w:val="clear" w:color="auto" w:fill="EFF8FE" w:themeFill="background2"/>
          </w:tcPr>
          <w:p w14:paraId="7347EDA7" w14:textId="7A6B5C3E" w:rsidR="002623EB" w:rsidRPr="00FB168D" w:rsidRDefault="002623EB" w:rsidP="009F6019">
            <w:pPr>
              <w:autoSpaceDE w:val="0"/>
              <w:autoSpaceDN w:val="0"/>
              <w:adjustRightInd w:val="0"/>
              <w:rPr>
                <w:rFonts w:cstheme="minorHAnsi"/>
                <w:b/>
                <w:sz w:val="22"/>
                <w:szCs w:val="22"/>
              </w:rPr>
            </w:pPr>
            <w:r w:rsidRPr="00FB168D">
              <w:rPr>
                <w:rFonts w:cstheme="minorHAnsi"/>
                <w:b/>
                <w:sz w:val="22"/>
                <w:szCs w:val="22"/>
              </w:rPr>
              <w:t>L</w:t>
            </w:r>
            <w:r w:rsidR="007B23F1" w:rsidRPr="00FB168D">
              <w:rPr>
                <w:rFonts w:cstheme="minorHAnsi"/>
                <w:b/>
                <w:sz w:val="22"/>
                <w:szCs w:val="22"/>
              </w:rPr>
              <w:t>ieu</w:t>
            </w:r>
          </w:p>
        </w:tc>
        <w:tc>
          <w:tcPr>
            <w:tcW w:w="6581" w:type="dxa"/>
            <w:shd w:val="clear" w:color="auto" w:fill="EFF8FE" w:themeFill="background2"/>
          </w:tcPr>
          <w:p w14:paraId="29750619" w14:textId="6B18DBEE" w:rsidR="002623EB" w:rsidRPr="00FB168D" w:rsidRDefault="00D3619F" w:rsidP="009F6019">
            <w:pPr>
              <w:autoSpaceDE w:val="0"/>
              <w:autoSpaceDN w:val="0"/>
              <w:adjustRightInd w:val="0"/>
              <w:jc w:val="both"/>
              <w:rPr>
                <w:rFonts w:cstheme="minorHAnsi"/>
                <w:bCs/>
                <w:sz w:val="22"/>
                <w:szCs w:val="22"/>
              </w:rPr>
            </w:pPr>
            <w:r w:rsidRPr="00FB168D">
              <w:rPr>
                <w:rFonts w:cstheme="minorHAnsi"/>
                <w:bCs/>
                <w:sz w:val="22"/>
                <w:szCs w:val="22"/>
              </w:rPr>
              <w:t>Bamako</w:t>
            </w:r>
          </w:p>
        </w:tc>
      </w:tr>
      <w:tr w:rsidR="002623EB" w:rsidRPr="00FB168D" w14:paraId="0750F607" w14:textId="77777777" w:rsidTr="00C71AC2">
        <w:tc>
          <w:tcPr>
            <w:tcW w:w="2268" w:type="dxa"/>
            <w:shd w:val="clear" w:color="auto" w:fill="EFF8FE" w:themeFill="background2"/>
          </w:tcPr>
          <w:p w14:paraId="4F17CB72" w14:textId="60D7C855" w:rsidR="002623EB" w:rsidRPr="00FB168D" w:rsidRDefault="007B23F1" w:rsidP="009F6019">
            <w:pPr>
              <w:autoSpaceDE w:val="0"/>
              <w:autoSpaceDN w:val="0"/>
              <w:adjustRightInd w:val="0"/>
              <w:rPr>
                <w:rFonts w:cstheme="minorHAnsi"/>
                <w:b/>
                <w:sz w:val="22"/>
                <w:szCs w:val="22"/>
              </w:rPr>
            </w:pPr>
            <w:r w:rsidRPr="00FB168D">
              <w:rPr>
                <w:rFonts w:cstheme="minorHAnsi"/>
                <w:b/>
                <w:sz w:val="22"/>
                <w:szCs w:val="22"/>
              </w:rPr>
              <w:t>Période</w:t>
            </w:r>
          </w:p>
        </w:tc>
        <w:tc>
          <w:tcPr>
            <w:tcW w:w="6581" w:type="dxa"/>
            <w:shd w:val="clear" w:color="auto" w:fill="EFF8FE" w:themeFill="background2"/>
          </w:tcPr>
          <w:p w14:paraId="5EE4B718" w14:textId="406DADAB" w:rsidR="002623EB" w:rsidRPr="00FB168D" w:rsidRDefault="00D3619F" w:rsidP="009F6019">
            <w:pPr>
              <w:autoSpaceDE w:val="0"/>
              <w:autoSpaceDN w:val="0"/>
              <w:adjustRightInd w:val="0"/>
              <w:jc w:val="both"/>
              <w:rPr>
                <w:rFonts w:cstheme="minorHAnsi"/>
                <w:bCs/>
                <w:sz w:val="22"/>
                <w:szCs w:val="22"/>
              </w:rPr>
            </w:pPr>
            <w:r w:rsidRPr="00FB168D">
              <w:rPr>
                <w:rFonts w:cstheme="minorHAnsi"/>
                <w:bCs/>
                <w:sz w:val="22"/>
                <w:szCs w:val="22"/>
              </w:rPr>
              <w:t xml:space="preserve">Septembre 2025 </w:t>
            </w:r>
          </w:p>
        </w:tc>
      </w:tr>
      <w:tr w:rsidR="002623EB" w:rsidRPr="00FB168D" w14:paraId="7759DA23" w14:textId="77777777" w:rsidTr="00C71AC2">
        <w:tc>
          <w:tcPr>
            <w:tcW w:w="2268" w:type="dxa"/>
            <w:shd w:val="clear" w:color="auto" w:fill="EFF8FE" w:themeFill="background2"/>
          </w:tcPr>
          <w:p w14:paraId="47FB2A02" w14:textId="723C7816" w:rsidR="002623EB" w:rsidRPr="00FB168D" w:rsidRDefault="007B23F1" w:rsidP="009F6019">
            <w:pPr>
              <w:autoSpaceDE w:val="0"/>
              <w:autoSpaceDN w:val="0"/>
              <w:adjustRightInd w:val="0"/>
              <w:rPr>
                <w:rFonts w:cstheme="minorHAnsi"/>
                <w:b/>
                <w:sz w:val="22"/>
                <w:szCs w:val="22"/>
              </w:rPr>
            </w:pPr>
            <w:r w:rsidRPr="00FB168D">
              <w:rPr>
                <w:rFonts w:cstheme="minorHAnsi"/>
                <w:b/>
                <w:sz w:val="22"/>
                <w:szCs w:val="22"/>
              </w:rPr>
              <w:t>Responsable(s)</w:t>
            </w:r>
          </w:p>
        </w:tc>
        <w:tc>
          <w:tcPr>
            <w:tcW w:w="6581" w:type="dxa"/>
            <w:shd w:val="clear" w:color="auto" w:fill="EFF8FE" w:themeFill="background2"/>
          </w:tcPr>
          <w:p w14:paraId="29E5FE4F" w14:textId="712CC0A0" w:rsidR="002623EB" w:rsidRPr="00FB168D" w:rsidRDefault="00615A14" w:rsidP="009F6019">
            <w:pPr>
              <w:pStyle w:val="Listbullets"/>
              <w:numPr>
                <w:ilvl w:val="0"/>
                <w:numId w:val="0"/>
              </w:numPr>
              <w:rPr>
                <w:rFonts w:cstheme="minorHAnsi"/>
                <w:bCs/>
                <w:sz w:val="22"/>
                <w:szCs w:val="22"/>
              </w:rPr>
            </w:pPr>
            <w:r w:rsidRPr="00FB168D">
              <w:rPr>
                <w:rFonts w:cstheme="minorHAnsi"/>
                <w:bCs/>
                <w:sz w:val="22"/>
                <w:szCs w:val="22"/>
              </w:rPr>
              <w:t>Fanta KEITA</w:t>
            </w:r>
          </w:p>
        </w:tc>
      </w:tr>
    </w:tbl>
    <w:p w14:paraId="675FAC67" w14:textId="77777777" w:rsidR="00972933" w:rsidRPr="00FB168D" w:rsidRDefault="00972933" w:rsidP="00972933">
      <w:pPr>
        <w:rPr>
          <w:rFonts w:cstheme="minorHAnsi"/>
        </w:rPr>
      </w:pPr>
    </w:p>
    <w:p w14:paraId="5C65CD6C" w14:textId="49C46E53" w:rsidR="00E319D6" w:rsidRPr="00FB168D" w:rsidRDefault="007B23F1" w:rsidP="00D627B5">
      <w:pPr>
        <w:pStyle w:val="Heading1"/>
        <w:rPr>
          <w:rFonts w:asciiTheme="minorHAnsi" w:hAnsiTheme="minorHAnsi" w:cstheme="minorHAnsi"/>
        </w:rPr>
      </w:pPr>
      <w:r w:rsidRPr="00FB168D">
        <w:rPr>
          <w:rFonts w:asciiTheme="minorHAnsi" w:hAnsiTheme="minorHAnsi" w:cstheme="minorHAnsi"/>
        </w:rPr>
        <w:t>À propos de SNV</w:t>
      </w:r>
    </w:p>
    <w:p w14:paraId="29B08FFC" w14:textId="24F0099E" w:rsidR="006A7525" w:rsidRPr="00FB168D" w:rsidRDefault="006A7525" w:rsidP="006A7525">
      <w:pPr>
        <w:pStyle w:val="BodyText"/>
        <w:spacing w:before="11"/>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 xml:space="preserve">La SNV est un partenaire international du développement établi aux Pays Bas en 1965, investi d’une mission, et qui est ancrée dans les contextes et les sociétés où elle travaille. Nous contribuons aux </w:t>
      </w:r>
      <w:r w:rsidR="00B01290" w:rsidRPr="00FB168D">
        <w:rPr>
          <w:rFonts w:asciiTheme="minorHAnsi" w:hAnsiTheme="minorHAnsi" w:cstheme="minorHAnsi"/>
          <w:sz w:val="22"/>
          <w:szCs w:val="22"/>
          <w:lang w:val="fr-FR"/>
        </w:rPr>
        <w:t>O</w:t>
      </w:r>
      <w:r w:rsidRPr="00FB168D">
        <w:rPr>
          <w:rFonts w:asciiTheme="minorHAnsi" w:hAnsiTheme="minorHAnsi" w:cstheme="minorHAnsi"/>
          <w:sz w:val="22"/>
          <w:szCs w:val="22"/>
          <w:lang w:val="fr-FR"/>
        </w:rPr>
        <w:t xml:space="preserve">bjectifs de </w:t>
      </w:r>
      <w:r w:rsidR="00B01290" w:rsidRPr="00FB168D">
        <w:rPr>
          <w:rFonts w:asciiTheme="minorHAnsi" w:hAnsiTheme="minorHAnsi" w:cstheme="minorHAnsi"/>
          <w:sz w:val="22"/>
          <w:szCs w:val="22"/>
          <w:lang w:val="fr-FR"/>
        </w:rPr>
        <w:t>D</w:t>
      </w:r>
      <w:r w:rsidRPr="00FB168D">
        <w:rPr>
          <w:rFonts w:asciiTheme="minorHAnsi" w:hAnsiTheme="minorHAnsi" w:cstheme="minorHAnsi"/>
          <w:sz w:val="22"/>
          <w:szCs w:val="22"/>
          <w:lang w:val="fr-FR"/>
        </w:rPr>
        <w:t xml:space="preserve">éveloppement </w:t>
      </w:r>
      <w:r w:rsidR="00B01290" w:rsidRPr="00FB168D">
        <w:rPr>
          <w:rFonts w:asciiTheme="minorHAnsi" w:hAnsiTheme="minorHAnsi" w:cstheme="minorHAnsi"/>
          <w:sz w:val="22"/>
          <w:szCs w:val="22"/>
          <w:lang w:val="fr-FR"/>
        </w:rPr>
        <w:t>D</w:t>
      </w:r>
      <w:r w:rsidRPr="00FB168D">
        <w:rPr>
          <w:rFonts w:asciiTheme="minorHAnsi" w:hAnsiTheme="minorHAnsi" w:cstheme="minorHAnsi"/>
          <w:sz w:val="22"/>
          <w:szCs w:val="22"/>
          <w:lang w:val="fr-FR"/>
        </w:rPr>
        <w:t xml:space="preserve">urable (ODD) grâce à l’efficacité de nos </w:t>
      </w:r>
      <w:r w:rsidR="00B01290" w:rsidRPr="00FB168D">
        <w:rPr>
          <w:rFonts w:asciiTheme="minorHAnsi" w:hAnsiTheme="minorHAnsi" w:cstheme="minorHAnsi"/>
          <w:sz w:val="22"/>
          <w:szCs w:val="22"/>
          <w:lang w:val="fr-FR"/>
        </w:rPr>
        <w:t>projets/</w:t>
      </w:r>
      <w:r w:rsidRPr="00FB168D">
        <w:rPr>
          <w:rFonts w:asciiTheme="minorHAnsi" w:hAnsiTheme="minorHAnsi" w:cstheme="minorHAnsi"/>
          <w:sz w:val="22"/>
          <w:szCs w:val="22"/>
          <w:lang w:val="fr-FR"/>
        </w:rPr>
        <w:t xml:space="preserve">programmes et à notre stratégie d’influence, avec pour axe central la transformation des systèmes agroalimentaires, énergétiques et d’approvisionnement en eau, afin de permettre des conditions de vie plus durables et plus équitables pour </w:t>
      </w:r>
      <w:proofErr w:type="spellStart"/>
      <w:r w:rsidRPr="00FB168D">
        <w:rPr>
          <w:rFonts w:asciiTheme="minorHAnsi" w:hAnsiTheme="minorHAnsi" w:cstheme="minorHAnsi"/>
          <w:sz w:val="22"/>
          <w:szCs w:val="22"/>
          <w:lang w:val="fr-FR"/>
        </w:rPr>
        <w:t>tou∙te∙s</w:t>
      </w:r>
      <w:proofErr w:type="spellEnd"/>
      <w:r w:rsidRPr="00FB168D">
        <w:rPr>
          <w:rFonts w:asciiTheme="minorHAnsi" w:hAnsiTheme="minorHAnsi" w:cstheme="minorHAnsi"/>
          <w:sz w:val="22"/>
          <w:szCs w:val="22"/>
          <w:lang w:val="fr-FR"/>
        </w:rPr>
        <w:t>.</w:t>
      </w:r>
    </w:p>
    <w:p w14:paraId="759072A3" w14:textId="77777777" w:rsidR="006A7525" w:rsidRPr="00FB168D" w:rsidRDefault="006A7525" w:rsidP="006A7525">
      <w:pPr>
        <w:pStyle w:val="BodyText"/>
        <w:spacing w:before="11"/>
        <w:jc w:val="both"/>
        <w:rPr>
          <w:rFonts w:asciiTheme="minorHAnsi" w:hAnsiTheme="minorHAnsi" w:cstheme="minorHAnsi"/>
          <w:sz w:val="22"/>
          <w:szCs w:val="22"/>
          <w:lang w:val="fr-FR"/>
        </w:rPr>
      </w:pPr>
    </w:p>
    <w:p w14:paraId="14B441D3" w14:textId="77777777" w:rsidR="00B01290" w:rsidRPr="00FB168D" w:rsidRDefault="006A7525" w:rsidP="006A7525">
      <w:pPr>
        <w:pStyle w:val="BodyText"/>
        <w:spacing w:before="11"/>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 xml:space="preserve">Nous formons une équipe de plus de 1 600 personnes, dont la grande majorité provient de plus de 25 pays d’Afrique et d’Asie où nous travaillons. </w:t>
      </w:r>
    </w:p>
    <w:p w14:paraId="65511A56" w14:textId="77777777" w:rsidR="00B01290" w:rsidRPr="00FB168D" w:rsidRDefault="00B01290" w:rsidP="006A7525">
      <w:pPr>
        <w:pStyle w:val="BodyText"/>
        <w:spacing w:before="11"/>
        <w:jc w:val="both"/>
        <w:rPr>
          <w:rFonts w:asciiTheme="minorHAnsi" w:hAnsiTheme="minorHAnsi" w:cstheme="minorHAnsi"/>
          <w:sz w:val="22"/>
          <w:szCs w:val="22"/>
          <w:lang w:val="fr-FR"/>
        </w:rPr>
      </w:pPr>
    </w:p>
    <w:p w14:paraId="0499CB17" w14:textId="4F758CB4" w:rsidR="006A7525" w:rsidRPr="00FB168D" w:rsidRDefault="006A7525" w:rsidP="006A7525">
      <w:pPr>
        <w:pStyle w:val="BodyText"/>
        <w:spacing w:before="11"/>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 xml:space="preserve">Au Mali où les interventions ont commencé en 1979, SNV dispose de bureaux à Bamako, Mopti et Ségou. En plus, elle intervient directement et à travers ses partenaires </w:t>
      </w:r>
      <w:r w:rsidR="00B01290" w:rsidRPr="00FB168D">
        <w:rPr>
          <w:rFonts w:asciiTheme="minorHAnsi" w:hAnsiTheme="minorHAnsi" w:cstheme="minorHAnsi"/>
          <w:sz w:val="22"/>
          <w:szCs w:val="22"/>
          <w:lang w:val="fr-FR"/>
        </w:rPr>
        <w:t>sur l’ensemble du territoire malien</w:t>
      </w:r>
      <w:r w:rsidRPr="00FB168D">
        <w:rPr>
          <w:rFonts w:asciiTheme="minorHAnsi" w:hAnsiTheme="minorHAnsi" w:cstheme="minorHAnsi"/>
          <w:sz w:val="22"/>
          <w:szCs w:val="22"/>
          <w:lang w:val="fr-FR"/>
        </w:rPr>
        <w:t>.</w:t>
      </w:r>
    </w:p>
    <w:p w14:paraId="1B10E4E9" w14:textId="77777777" w:rsidR="006A7525" w:rsidRPr="00FB168D" w:rsidRDefault="006A7525" w:rsidP="006A7525">
      <w:pPr>
        <w:pStyle w:val="BodyText"/>
        <w:spacing w:before="11" w:line="270" w:lineRule="atLeast"/>
        <w:jc w:val="both"/>
        <w:rPr>
          <w:rFonts w:asciiTheme="minorHAnsi" w:hAnsiTheme="minorHAnsi" w:cstheme="minorHAnsi"/>
          <w:sz w:val="22"/>
          <w:szCs w:val="22"/>
          <w:lang w:val="fr-FR"/>
        </w:rPr>
      </w:pPr>
    </w:p>
    <w:p w14:paraId="4886988D" w14:textId="74C40604" w:rsidR="00E319D6" w:rsidRPr="00FB168D" w:rsidRDefault="006A7525" w:rsidP="00CF7EBF">
      <w:pPr>
        <w:pStyle w:val="BodyText"/>
        <w:spacing w:before="11" w:line="270" w:lineRule="atLeast"/>
        <w:jc w:val="both"/>
        <w:rPr>
          <w:rFonts w:asciiTheme="minorHAnsi" w:hAnsiTheme="minorHAnsi" w:cstheme="minorHAnsi"/>
          <w:sz w:val="21"/>
          <w:szCs w:val="21"/>
          <w:lang w:val="fr-FR"/>
        </w:rPr>
      </w:pPr>
      <w:r w:rsidRPr="00FB168D">
        <w:rPr>
          <w:rFonts w:asciiTheme="minorHAnsi" w:hAnsiTheme="minorHAnsi" w:cstheme="minorHAnsi"/>
          <w:sz w:val="22"/>
          <w:szCs w:val="22"/>
          <w:lang w:val="fr-FR"/>
        </w:rPr>
        <w:t xml:space="preserve">Pour plus d'informations sur nos opérations au Mali et sur SNV en général, visitez notre site web : </w:t>
      </w:r>
      <w:r>
        <w:fldChar w:fldCharType="begin"/>
      </w:r>
      <w:r w:rsidRPr="00F710C4">
        <w:rPr>
          <w:lang w:val="fr-FR"/>
        </w:rPr>
        <w:instrText>HYPERLINK "http://www.snv.org"</w:instrText>
      </w:r>
      <w:r>
        <w:fldChar w:fldCharType="separate"/>
      </w:r>
      <w:r w:rsidRPr="00FB168D">
        <w:rPr>
          <w:rStyle w:val="Hyperlink"/>
          <w:rFonts w:asciiTheme="minorHAnsi" w:hAnsiTheme="minorHAnsi" w:cstheme="minorHAnsi"/>
          <w:sz w:val="22"/>
          <w:szCs w:val="22"/>
          <w:lang w:val="fr-FR"/>
        </w:rPr>
        <w:t>www.snv.org</w:t>
      </w:r>
      <w:r>
        <w:fldChar w:fldCharType="end"/>
      </w:r>
      <w:r w:rsidR="00CF7EBF" w:rsidRPr="00FB168D">
        <w:rPr>
          <w:rFonts w:asciiTheme="minorHAnsi" w:hAnsiTheme="minorHAnsi" w:cstheme="minorHAnsi"/>
          <w:sz w:val="22"/>
          <w:szCs w:val="22"/>
          <w:lang w:val="fr-FR"/>
        </w:rPr>
        <w:t>.</w:t>
      </w:r>
    </w:p>
    <w:p w14:paraId="6E973DC6" w14:textId="5F3877EC" w:rsidR="00D627B5" w:rsidRPr="00FB168D" w:rsidRDefault="007B23F1" w:rsidP="00A427F8">
      <w:pPr>
        <w:pStyle w:val="Heading1"/>
        <w:rPr>
          <w:rFonts w:asciiTheme="minorHAnsi" w:hAnsiTheme="minorHAnsi" w:cstheme="minorHAnsi"/>
        </w:rPr>
      </w:pPr>
      <w:r w:rsidRPr="00FB168D">
        <w:rPr>
          <w:rFonts w:asciiTheme="minorHAnsi" w:hAnsiTheme="minorHAnsi" w:cstheme="minorHAnsi"/>
        </w:rPr>
        <w:t>Contexte</w:t>
      </w:r>
      <w:r w:rsidR="00B27ACA" w:rsidRPr="00FB168D">
        <w:rPr>
          <w:rFonts w:asciiTheme="minorHAnsi" w:hAnsiTheme="minorHAnsi" w:cstheme="minorHAnsi"/>
        </w:rPr>
        <w:t>, Justification</w:t>
      </w:r>
      <w:r w:rsidRPr="00FB168D">
        <w:rPr>
          <w:rFonts w:asciiTheme="minorHAnsi" w:hAnsiTheme="minorHAnsi" w:cstheme="minorHAnsi"/>
        </w:rPr>
        <w:t xml:space="preserve"> et objectifs de la mission</w:t>
      </w:r>
    </w:p>
    <w:p w14:paraId="04DA5DFA" w14:textId="332ABF5E" w:rsidR="00A427F8" w:rsidRPr="00FB168D" w:rsidRDefault="00A427F8" w:rsidP="00504F48">
      <w:pPr>
        <w:jc w:val="both"/>
        <w:rPr>
          <w:rFonts w:cstheme="minorHAnsi"/>
          <w:b/>
          <w:bCs/>
          <w:sz w:val="24"/>
          <w:szCs w:val="24"/>
        </w:rPr>
      </w:pPr>
      <w:r w:rsidRPr="00FB168D">
        <w:rPr>
          <w:rFonts w:cstheme="minorHAnsi"/>
          <w:b/>
          <w:bCs/>
          <w:sz w:val="24"/>
          <w:szCs w:val="24"/>
        </w:rPr>
        <w:t xml:space="preserve">2.1. </w:t>
      </w:r>
      <w:r w:rsidR="00DE09CA" w:rsidRPr="00FB168D">
        <w:rPr>
          <w:rFonts w:cstheme="minorHAnsi"/>
          <w:b/>
          <w:bCs/>
          <w:sz w:val="24"/>
          <w:szCs w:val="24"/>
        </w:rPr>
        <w:t>Contexte et Justification</w:t>
      </w:r>
    </w:p>
    <w:p w14:paraId="2E7617B0" w14:textId="77777777" w:rsidR="00DE09CA" w:rsidRPr="00FB168D" w:rsidRDefault="00DE09CA" w:rsidP="00504F48">
      <w:pPr>
        <w:jc w:val="both"/>
        <w:rPr>
          <w:rFonts w:cstheme="minorHAnsi"/>
          <w:sz w:val="22"/>
          <w:szCs w:val="22"/>
        </w:rPr>
      </w:pPr>
    </w:p>
    <w:p w14:paraId="67CF4DC1" w14:textId="09FC4880" w:rsidR="006C4C9E" w:rsidRPr="00FB168D" w:rsidRDefault="00504F48" w:rsidP="00504F48">
      <w:pPr>
        <w:jc w:val="both"/>
        <w:rPr>
          <w:rFonts w:cstheme="minorHAnsi"/>
          <w:sz w:val="22"/>
          <w:szCs w:val="22"/>
        </w:rPr>
      </w:pPr>
      <w:r w:rsidRPr="00FB168D">
        <w:rPr>
          <w:rFonts w:cstheme="minorHAnsi"/>
          <w:sz w:val="22"/>
          <w:szCs w:val="22"/>
        </w:rPr>
        <w:t>La ville de Bamako, avec ses 4,2 millions d’habitants, est confrontée à une forte dépendance au charbon de bois pour la cuisson domestique, entraînant des impacts majeurs sur la santé publique (pollution de l’air intérieur), les dépenses des ménages, la déforestation et la dégradation de l’environnement. Malgré la disponibilité de solutions de de cuisson amélioré</w:t>
      </w:r>
      <w:r w:rsidR="00153FAF" w:rsidRPr="00FB168D">
        <w:rPr>
          <w:rFonts w:cstheme="minorHAnsi"/>
          <w:sz w:val="22"/>
          <w:szCs w:val="22"/>
        </w:rPr>
        <w:t>e</w:t>
      </w:r>
      <w:r w:rsidRPr="00FB168D">
        <w:rPr>
          <w:rFonts w:cstheme="minorHAnsi"/>
          <w:sz w:val="22"/>
          <w:szCs w:val="22"/>
        </w:rPr>
        <w:t xml:space="preserve"> (foyers labellisés GWA+) et de cuisson propre (éthanol, pellets, GPL, électricité</w:t>
      </w:r>
      <w:r w:rsidR="006C4C9E" w:rsidRPr="00FB168D">
        <w:rPr>
          <w:rFonts w:cstheme="minorHAnsi"/>
          <w:sz w:val="22"/>
          <w:szCs w:val="22"/>
        </w:rPr>
        <w:t xml:space="preserve">) </w:t>
      </w:r>
      <w:r w:rsidRPr="00FB168D">
        <w:rPr>
          <w:rFonts w:cstheme="minorHAnsi"/>
          <w:sz w:val="22"/>
          <w:szCs w:val="22"/>
        </w:rPr>
        <w:t>leur taux d’adoption reste très faible.</w:t>
      </w:r>
      <w:r w:rsidR="00325BA9" w:rsidRPr="00FB168D">
        <w:rPr>
          <w:rFonts w:cstheme="minorHAnsi"/>
        </w:rPr>
        <w:t xml:space="preserve"> </w:t>
      </w:r>
      <w:r w:rsidR="00325BA9" w:rsidRPr="00FB168D">
        <w:rPr>
          <w:rFonts w:cstheme="minorHAnsi"/>
          <w:sz w:val="22"/>
          <w:szCs w:val="22"/>
        </w:rPr>
        <w:t xml:space="preserve">Les contraintes économiques, le manque d’information fiable, les habitudes culturelles et la faible sensibilisation aux impacts sanitaires et environnementaux constituent des freins majeurs. </w:t>
      </w:r>
    </w:p>
    <w:p w14:paraId="330C4532" w14:textId="77777777" w:rsidR="006C4C9E" w:rsidRPr="00FB168D" w:rsidRDefault="006C4C9E" w:rsidP="00504F48">
      <w:pPr>
        <w:jc w:val="both"/>
        <w:rPr>
          <w:rFonts w:cstheme="minorHAnsi"/>
          <w:sz w:val="22"/>
          <w:szCs w:val="22"/>
        </w:rPr>
      </w:pPr>
    </w:p>
    <w:p w14:paraId="1BA2CCBE" w14:textId="30048C60" w:rsidR="00504F48" w:rsidRPr="00FB168D" w:rsidRDefault="00504F48" w:rsidP="00504F48">
      <w:pPr>
        <w:jc w:val="both"/>
        <w:rPr>
          <w:rFonts w:cstheme="minorHAnsi"/>
          <w:sz w:val="22"/>
          <w:szCs w:val="22"/>
        </w:rPr>
      </w:pPr>
      <w:r w:rsidRPr="00FB168D">
        <w:rPr>
          <w:rFonts w:cstheme="minorHAnsi"/>
          <w:sz w:val="22"/>
          <w:szCs w:val="22"/>
        </w:rPr>
        <w:t xml:space="preserve">Le projet </w:t>
      </w:r>
      <w:r w:rsidR="006C4C9E" w:rsidRPr="00FB168D">
        <w:rPr>
          <w:rFonts w:cstheme="minorHAnsi"/>
          <w:sz w:val="22"/>
          <w:szCs w:val="22"/>
        </w:rPr>
        <w:t xml:space="preserve">pilote </w:t>
      </w:r>
      <w:r w:rsidRPr="00FB168D">
        <w:rPr>
          <w:rFonts w:cstheme="minorHAnsi"/>
          <w:sz w:val="22"/>
          <w:szCs w:val="22"/>
        </w:rPr>
        <w:t>"Smoke Free Zone</w:t>
      </w:r>
      <w:r w:rsidR="00C5584C">
        <w:rPr>
          <w:rFonts w:cstheme="minorHAnsi"/>
          <w:sz w:val="22"/>
          <w:szCs w:val="22"/>
        </w:rPr>
        <w:t>s</w:t>
      </w:r>
      <w:r w:rsidRPr="00FB168D">
        <w:rPr>
          <w:rFonts w:cstheme="minorHAnsi"/>
          <w:sz w:val="22"/>
          <w:szCs w:val="22"/>
        </w:rPr>
        <w:t>" (SFZ) propose une approche communautaire de changement de comportement inspirée du modèle "Smoke Free Village" déjà éprouvé en Asie et en Afrique Australe, afin d’encourager l’adoption massive et durable des pratiques de cuisson propre.</w:t>
      </w:r>
    </w:p>
    <w:p w14:paraId="6673149A" w14:textId="77777777" w:rsidR="00984BB1" w:rsidRPr="00FB168D" w:rsidRDefault="00984BB1" w:rsidP="00504F48">
      <w:pPr>
        <w:jc w:val="both"/>
        <w:rPr>
          <w:rFonts w:cstheme="minorHAnsi"/>
          <w:sz w:val="22"/>
          <w:szCs w:val="22"/>
        </w:rPr>
      </w:pPr>
    </w:p>
    <w:p w14:paraId="1F2E5610" w14:textId="7C0C8831" w:rsidR="00984BB1" w:rsidRPr="00FB168D" w:rsidRDefault="00990517" w:rsidP="00504F48">
      <w:pPr>
        <w:jc w:val="both"/>
        <w:rPr>
          <w:rFonts w:cstheme="minorHAnsi"/>
          <w:sz w:val="22"/>
          <w:szCs w:val="22"/>
        </w:rPr>
      </w:pPr>
      <w:r w:rsidRPr="00FB168D">
        <w:rPr>
          <w:rFonts w:cstheme="minorHAnsi"/>
          <w:sz w:val="22"/>
          <w:szCs w:val="22"/>
        </w:rPr>
        <w:t xml:space="preserve">Le projet pilote SFZ, prévu sur huit mois, </w:t>
      </w:r>
      <w:r w:rsidR="00984BB1" w:rsidRPr="00FB168D">
        <w:rPr>
          <w:rFonts w:cstheme="minorHAnsi"/>
          <w:sz w:val="22"/>
          <w:szCs w:val="22"/>
        </w:rPr>
        <w:t>vise à promouvoir l’adoption des comportements de cuisson propre à travers des campagnes de changement de comportement (BCC) communautaire, en ciblant un quartier de Bamako (autour de la Maison de la Femme). Le projet cherche à augmenter les taux d’adoption de solutions de cuisson propre (≥25% pendant le pilote) et à capitaliser les leçons pour un passage à l’échelle.</w:t>
      </w:r>
    </w:p>
    <w:p w14:paraId="192D4964" w14:textId="77777777" w:rsidR="00250E82" w:rsidRPr="00FB168D" w:rsidRDefault="00250E82" w:rsidP="00504F48">
      <w:pPr>
        <w:jc w:val="both"/>
        <w:rPr>
          <w:rFonts w:cstheme="minorHAnsi"/>
          <w:sz w:val="22"/>
          <w:szCs w:val="22"/>
        </w:rPr>
      </w:pPr>
    </w:p>
    <w:p w14:paraId="35469483" w14:textId="77777777" w:rsidR="00250E82" w:rsidRPr="00FB168D" w:rsidRDefault="00250E82" w:rsidP="00250E82">
      <w:pPr>
        <w:jc w:val="both"/>
        <w:rPr>
          <w:rFonts w:cstheme="minorHAnsi"/>
          <w:sz w:val="22"/>
          <w:szCs w:val="22"/>
        </w:rPr>
      </w:pPr>
      <w:r w:rsidRPr="00FB168D">
        <w:rPr>
          <w:rFonts w:cstheme="minorHAnsi"/>
          <w:sz w:val="22"/>
          <w:szCs w:val="22"/>
        </w:rPr>
        <w:t>Avant le déploiement de l’intervention, une étude de base est nécessaire pour :</w:t>
      </w:r>
    </w:p>
    <w:p w14:paraId="6FBC3DDA" w14:textId="05EED902" w:rsidR="00250E82" w:rsidRPr="00FB168D" w:rsidRDefault="00250E82" w:rsidP="001D7A9A">
      <w:pPr>
        <w:pStyle w:val="ListParagraph"/>
        <w:numPr>
          <w:ilvl w:val="0"/>
          <w:numId w:val="12"/>
        </w:numPr>
        <w:jc w:val="both"/>
        <w:rPr>
          <w:rFonts w:asciiTheme="minorHAnsi" w:hAnsiTheme="minorHAnsi" w:cstheme="minorHAnsi"/>
          <w:sz w:val="22"/>
          <w:szCs w:val="22"/>
        </w:rPr>
      </w:pPr>
      <w:r w:rsidRPr="00FB168D">
        <w:rPr>
          <w:rFonts w:asciiTheme="minorHAnsi" w:hAnsiTheme="minorHAnsi" w:cstheme="minorHAnsi"/>
          <w:sz w:val="22"/>
          <w:szCs w:val="22"/>
        </w:rPr>
        <w:t>Analyser les pratiques/comportement de cuisson avec les foyers et combustibles utilisés dans les ménages cibles</w:t>
      </w:r>
      <w:r w:rsidR="00082A8D" w:rsidRPr="00FB168D">
        <w:rPr>
          <w:rFonts w:asciiTheme="minorHAnsi" w:hAnsiTheme="minorHAnsi" w:cstheme="minorHAnsi"/>
          <w:sz w:val="22"/>
          <w:szCs w:val="22"/>
        </w:rPr>
        <w:t> ;</w:t>
      </w:r>
    </w:p>
    <w:p w14:paraId="5BB56A64" w14:textId="635A8D67" w:rsidR="00A12D56" w:rsidRPr="00FB168D" w:rsidRDefault="00250E82" w:rsidP="001D7A9A">
      <w:pPr>
        <w:pStyle w:val="ListParagraph"/>
        <w:numPr>
          <w:ilvl w:val="0"/>
          <w:numId w:val="12"/>
        </w:numPr>
        <w:jc w:val="both"/>
        <w:rPr>
          <w:rFonts w:asciiTheme="minorHAnsi" w:hAnsiTheme="minorHAnsi" w:cstheme="minorHAnsi"/>
          <w:sz w:val="22"/>
          <w:szCs w:val="22"/>
        </w:rPr>
      </w:pPr>
      <w:r w:rsidRPr="00FB168D">
        <w:rPr>
          <w:rFonts w:asciiTheme="minorHAnsi" w:hAnsiTheme="minorHAnsi" w:cstheme="minorHAnsi"/>
          <w:sz w:val="22"/>
          <w:szCs w:val="22"/>
        </w:rPr>
        <w:t>Mieux comprendre les barrières et les moteurs d’adoption des technologies de cuisson propre dans le contexte urbain de Bamako</w:t>
      </w:r>
      <w:r w:rsidR="00082A8D" w:rsidRPr="00FB168D">
        <w:rPr>
          <w:rFonts w:asciiTheme="minorHAnsi" w:hAnsiTheme="minorHAnsi" w:cstheme="minorHAnsi"/>
          <w:sz w:val="22"/>
          <w:szCs w:val="22"/>
        </w:rPr>
        <w:t> ;</w:t>
      </w:r>
    </w:p>
    <w:p w14:paraId="239DD35A" w14:textId="37FD1D49" w:rsidR="00250E82" w:rsidRPr="00FB168D" w:rsidRDefault="00250E82" w:rsidP="001D7A9A">
      <w:pPr>
        <w:pStyle w:val="ListParagraph"/>
        <w:numPr>
          <w:ilvl w:val="0"/>
          <w:numId w:val="12"/>
        </w:numPr>
        <w:jc w:val="both"/>
        <w:rPr>
          <w:rFonts w:asciiTheme="minorHAnsi" w:hAnsiTheme="minorHAnsi" w:cstheme="minorHAnsi"/>
          <w:sz w:val="22"/>
          <w:szCs w:val="22"/>
        </w:rPr>
      </w:pPr>
      <w:r w:rsidRPr="00FB168D">
        <w:rPr>
          <w:rFonts w:asciiTheme="minorHAnsi" w:hAnsiTheme="minorHAnsi" w:cstheme="minorHAnsi"/>
          <w:sz w:val="22"/>
          <w:szCs w:val="22"/>
        </w:rPr>
        <w:t>S’informer sur le niveau de connaissance des ménages par rapport aux solutions de cuisson propre disponible sur le marché ( technologies et combustibles)</w:t>
      </w:r>
      <w:r w:rsidR="00082A8D" w:rsidRPr="00FB168D">
        <w:rPr>
          <w:rFonts w:asciiTheme="minorHAnsi" w:hAnsiTheme="minorHAnsi" w:cstheme="minorHAnsi"/>
          <w:sz w:val="22"/>
          <w:szCs w:val="22"/>
        </w:rPr>
        <w:t> ;</w:t>
      </w:r>
    </w:p>
    <w:p w14:paraId="78C1E09C" w14:textId="1ABDAAFB" w:rsidR="00250E82" w:rsidRPr="00FB168D" w:rsidRDefault="00250E82" w:rsidP="001D7A9A">
      <w:pPr>
        <w:pStyle w:val="ListParagraph"/>
        <w:numPr>
          <w:ilvl w:val="0"/>
          <w:numId w:val="12"/>
        </w:numPr>
        <w:jc w:val="both"/>
        <w:rPr>
          <w:rFonts w:asciiTheme="minorHAnsi" w:hAnsiTheme="minorHAnsi" w:cstheme="minorHAnsi"/>
          <w:sz w:val="22"/>
          <w:szCs w:val="22"/>
        </w:rPr>
      </w:pPr>
      <w:r w:rsidRPr="00FB168D">
        <w:rPr>
          <w:rFonts w:asciiTheme="minorHAnsi" w:hAnsiTheme="minorHAnsi" w:cstheme="minorHAnsi"/>
          <w:sz w:val="22"/>
          <w:szCs w:val="22"/>
        </w:rPr>
        <w:t xml:space="preserve">Comprendre la perception des utilisatrices sur l’usage des solutions de cuisson propre comparée </w:t>
      </w:r>
      <w:r w:rsidR="00E345A6" w:rsidRPr="00FB168D">
        <w:rPr>
          <w:rFonts w:asciiTheme="minorHAnsi" w:hAnsiTheme="minorHAnsi" w:cstheme="minorHAnsi"/>
          <w:sz w:val="22"/>
          <w:szCs w:val="22"/>
        </w:rPr>
        <w:t>aux solutions traditionnelles</w:t>
      </w:r>
      <w:r w:rsidRPr="00FB168D">
        <w:rPr>
          <w:rFonts w:asciiTheme="minorHAnsi" w:hAnsiTheme="minorHAnsi" w:cstheme="minorHAnsi"/>
          <w:sz w:val="22"/>
          <w:szCs w:val="22"/>
        </w:rPr>
        <w:t xml:space="preserve"> dans les ménages</w:t>
      </w:r>
      <w:r w:rsidR="00082A8D" w:rsidRPr="00FB168D">
        <w:rPr>
          <w:rFonts w:asciiTheme="minorHAnsi" w:hAnsiTheme="minorHAnsi" w:cstheme="minorHAnsi"/>
          <w:sz w:val="22"/>
          <w:szCs w:val="22"/>
        </w:rPr>
        <w:t> ;</w:t>
      </w:r>
    </w:p>
    <w:p w14:paraId="40D2B45D" w14:textId="51DBD67E" w:rsidR="00250E82" w:rsidRPr="00FB168D" w:rsidRDefault="00250E82" w:rsidP="001D7A9A">
      <w:pPr>
        <w:pStyle w:val="ListParagraph"/>
        <w:numPr>
          <w:ilvl w:val="0"/>
          <w:numId w:val="12"/>
        </w:numPr>
        <w:jc w:val="both"/>
        <w:rPr>
          <w:rFonts w:asciiTheme="minorHAnsi" w:hAnsiTheme="minorHAnsi" w:cstheme="minorHAnsi"/>
          <w:sz w:val="22"/>
          <w:szCs w:val="22"/>
        </w:rPr>
      </w:pPr>
      <w:r w:rsidRPr="00FB168D">
        <w:rPr>
          <w:rFonts w:asciiTheme="minorHAnsi" w:hAnsiTheme="minorHAnsi" w:cstheme="minorHAnsi"/>
          <w:sz w:val="22"/>
          <w:szCs w:val="22"/>
        </w:rPr>
        <w:t xml:space="preserve">Établir des indicateurs de référence pour mesurer les impacts du projet (taux d'adoption en % des pratiques/comportements, technologies et combustibles de cuisson propre, </w:t>
      </w:r>
      <w:r w:rsidR="00082A8D" w:rsidRPr="00FB168D">
        <w:rPr>
          <w:rFonts w:asciiTheme="minorHAnsi" w:hAnsiTheme="minorHAnsi" w:cstheme="minorHAnsi"/>
          <w:sz w:val="22"/>
          <w:szCs w:val="22"/>
        </w:rPr>
        <w:t>bénéfices</w:t>
      </w:r>
      <w:r w:rsidRPr="00FB168D">
        <w:rPr>
          <w:rFonts w:asciiTheme="minorHAnsi" w:hAnsiTheme="minorHAnsi" w:cstheme="minorHAnsi"/>
          <w:sz w:val="22"/>
          <w:szCs w:val="22"/>
        </w:rPr>
        <w:t xml:space="preserve"> économiques et sanitaires) dans la zone cible</w:t>
      </w:r>
      <w:r w:rsidR="00082A8D" w:rsidRPr="00FB168D">
        <w:rPr>
          <w:rFonts w:asciiTheme="minorHAnsi" w:hAnsiTheme="minorHAnsi" w:cstheme="minorHAnsi"/>
          <w:sz w:val="22"/>
          <w:szCs w:val="22"/>
        </w:rPr>
        <w:t> ;</w:t>
      </w:r>
    </w:p>
    <w:p w14:paraId="3DA1693D" w14:textId="7A7C6AD8" w:rsidR="00250E82" w:rsidRPr="00FB168D" w:rsidRDefault="00250E82" w:rsidP="001D7A9A">
      <w:pPr>
        <w:pStyle w:val="ListParagraph"/>
        <w:numPr>
          <w:ilvl w:val="0"/>
          <w:numId w:val="12"/>
        </w:numPr>
        <w:jc w:val="both"/>
        <w:rPr>
          <w:rFonts w:asciiTheme="minorHAnsi" w:hAnsiTheme="minorHAnsi" w:cstheme="minorHAnsi"/>
          <w:sz w:val="22"/>
          <w:szCs w:val="22"/>
        </w:rPr>
      </w:pPr>
      <w:r w:rsidRPr="00FB168D">
        <w:rPr>
          <w:rFonts w:asciiTheme="minorHAnsi" w:hAnsiTheme="minorHAnsi" w:cstheme="minorHAnsi"/>
          <w:sz w:val="22"/>
          <w:szCs w:val="22"/>
        </w:rPr>
        <w:t xml:space="preserve">Adapter les outils et </w:t>
      </w:r>
      <w:r w:rsidR="00585E98" w:rsidRPr="00FB168D">
        <w:rPr>
          <w:rFonts w:asciiTheme="minorHAnsi" w:hAnsiTheme="minorHAnsi" w:cstheme="minorHAnsi"/>
          <w:sz w:val="22"/>
          <w:szCs w:val="22"/>
        </w:rPr>
        <w:t xml:space="preserve">les </w:t>
      </w:r>
      <w:r w:rsidRPr="00FB168D">
        <w:rPr>
          <w:rFonts w:asciiTheme="minorHAnsi" w:hAnsiTheme="minorHAnsi" w:cstheme="minorHAnsi"/>
          <w:sz w:val="22"/>
          <w:szCs w:val="22"/>
        </w:rPr>
        <w:t xml:space="preserve">messages de communication </w:t>
      </w:r>
      <w:r w:rsidR="00585E98" w:rsidRPr="00FB168D">
        <w:rPr>
          <w:rFonts w:asciiTheme="minorHAnsi" w:hAnsiTheme="minorHAnsi" w:cstheme="minorHAnsi"/>
          <w:sz w:val="22"/>
          <w:szCs w:val="22"/>
        </w:rPr>
        <w:t xml:space="preserve">pour le changement de </w:t>
      </w:r>
      <w:r w:rsidRPr="00FB168D">
        <w:rPr>
          <w:rFonts w:asciiTheme="minorHAnsi" w:hAnsiTheme="minorHAnsi" w:cstheme="minorHAnsi"/>
          <w:sz w:val="22"/>
          <w:szCs w:val="22"/>
        </w:rPr>
        <w:t>comportement (BCC) aux réalités et priorités des communautés ciblées.</w:t>
      </w:r>
      <w:r w:rsidR="00312D50" w:rsidRPr="00FB168D">
        <w:rPr>
          <w:rFonts w:asciiTheme="minorHAnsi" w:hAnsiTheme="minorHAnsi" w:cstheme="minorHAnsi"/>
          <w:sz w:val="22"/>
          <w:szCs w:val="22"/>
        </w:rPr>
        <w:t xml:space="preserve"> </w:t>
      </w:r>
    </w:p>
    <w:p w14:paraId="1A2463E9" w14:textId="77777777" w:rsidR="00AE6F5B" w:rsidRPr="00FB168D" w:rsidRDefault="00AE6F5B" w:rsidP="00504F48">
      <w:pPr>
        <w:jc w:val="both"/>
        <w:rPr>
          <w:rFonts w:cstheme="minorHAnsi"/>
          <w:sz w:val="22"/>
          <w:szCs w:val="22"/>
        </w:rPr>
      </w:pPr>
    </w:p>
    <w:p w14:paraId="07EEEE20" w14:textId="4F96625D" w:rsidR="00613F09" w:rsidRPr="00FB168D" w:rsidRDefault="00ED45FA" w:rsidP="00613F09">
      <w:pPr>
        <w:jc w:val="both"/>
        <w:rPr>
          <w:rFonts w:cstheme="minorHAnsi"/>
          <w:b/>
          <w:bCs/>
          <w:sz w:val="24"/>
          <w:szCs w:val="24"/>
        </w:rPr>
      </w:pPr>
      <w:r w:rsidRPr="00FB168D">
        <w:rPr>
          <w:rFonts w:cstheme="minorHAnsi"/>
          <w:b/>
          <w:bCs/>
          <w:sz w:val="24"/>
          <w:szCs w:val="24"/>
        </w:rPr>
        <w:t xml:space="preserve">2.2. </w:t>
      </w:r>
      <w:r w:rsidR="00613F09" w:rsidRPr="00FB168D">
        <w:rPr>
          <w:rFonts w:cstheme="minorHAnsi"/>
          <w:b/>
          <w:bCs/>
          <w:sz w:val="24"/>
          <w:szCs w:val="24"/>
        </w:rPr>
        <w:t>Aperçu du projet</w:t>
      </w:r>
      <w:r w:rsidR="00613F09" w:rsidRPr="00FB168D">
        <w:rPr>
          <w:rFonts w:cstheme="minorHAnsi"/>
          <w:b/>
          <w:bCs/>
          <w:color w:val="FF0000"/>
          <w:sz w:val="20"/>
          <w:lang w:eastAsia="fr-FR" w:bidi="hi-IN"/>
        </w:rPr>
        <w:t xml:space="preserve"> </w:t>
      </w:r>
    </w:p>
    <w:tbl>
      <w:tblPr>
        <w:tblW w:w="49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963"/>
      </w:tblGrid>
      <w:tr w:rsidR="00613F09" w:rsidRPr="00FB168D" w14:paraId="00AF8EEB" w14:textId="77777777" w:rsidTr="005664FD">
        <w:trPr>
          <w:trHeight w:val="401"/>
        </w:trPr>
        <w:tc>
          <w:tcPr>
            <w:tcW w:w="1039" w:type="pct"/>
            <w:shd w:val="clear" w:color="auto" w:fill="00B0F0"/>
          </w:tcPr>
          <w:p w14:paraId="7431F8C5" w14:textId="65F56301" w:rsidR="00613F09" w:rsidRPr="00924DF8" w:rsidRDefault="00924DF8" w:rsidP="0098065C">
            <w:pPr>
              <w:suppressAutoHyphens/>
              <w:spacing w:line="240" w:lineRule="auto"/>
              <w:rPr>
                <w:rFonts w:eastAsia="NSimSun" w:cstheme="minorHAnsi"/>
                <w:b/>
                <w:bCs/>
                <w:color w:val="FFFFFF" w:themeColor="background1"/>
                <w:sz w:val="22"/>
                <w:szCs w:val="22"/>
                <w:lang w:eastAsia="zh-CN" w:bidi="hi-IN"/>
              </w:rPr>
            </w:pPr>
            <w:r w:rsidRPr="00924DF8">
              <w:rPr>
                <w:rFonts w:eastAsia="NSimSun" w:cstheme="minorHAnsi"/>
                <w:b/>
                <w:bCs/>
                <w:color w:val="FFFFFF" w:themeColor="background1"/>
                <w:sz w:val="22"/>
                <w:szCs w:val="22"/>
                <w:lang w:eastAsia="zh-CN" w:bidi="hi-IN"/>
              </w:rPr>
              <w:t xml:space="preserve">INFORMATIONS </w:t>
            </w:r>
          </w:p>
        </w:tc>
        <w:tc>
          <w:tcPr>
            <w:tcW w:w="3961" w:type="pct"/>
            <w:shd w:val="clear" w:color="auto" w:fill="00B0F0"/>
          </w:tcPr>
          <w:p w14:paraId="6EE27501" w14:textId="72AECAA1" w:rsidR="00613F09" w:rsidRPr="00924DF8" w:rsidRDefault="00924DF8" w:rsidP="005664FD">
            <w:pPr>
              <w:suppressAutoHyphens/>
              <w:spacing w:line="240" w:lineRule="auto"/>
              <w:rPr>
                <w:rFonts w:eastAsia="NSimSun" w:cstheme="minorHAnsi"/>
                <w:b/>
                <w:bCs/>
                <w:color w:val="FFFFFF" w:themeColor="background1"/>
                <w:sz w:val="22"/>
                <w:szCs w:val="22"/>
                <w:lang w:eastAsia="zh-CN" w:bidi="hi-IN"/>
              </w:rPr>
            </w:pPr>
            <w:r w:rsidRPr="00924DF8">
              <w:rPr>
                <w:rFonts w:eastAsia="NSimSun" w:cstheme="minorHAnsi"/>
                <w:b/>
                <w:bCs/>
                <w:color w:val="FFFFFF" w:themeColor="background1"/>
                <w:sz w:val="22"/>
                <w:szCs w:val="22"/>
                <w:lang w:eastAsia="zh-CN" w:bidi="hi-IN"/>
              </w:rPr>
              <w:t xml:space="preserve">REPONSES </w:t>
            </w:r>
          </w:p>
        </w:tc>
      </w:tr>
      <w:tr w:rsidR="00613F09" w:rsidRPr="00FB168D" w14:paraId="1E818E09" w14:textId="77777777" w:rsidTr="005F0AE7">
        <w:trPr>
          <w:trHeight w:val="418"/>
        </w:trPr>
        <w:tc>
          <w:tcPr>
            <w:tcW w:w="1039" w:type="pct"/>
          </w:tcPr>
          <w:p w14:paraId="6A0A820B" w14:textId="77777777" w:rsidR="00613F09" w:rsidRPr="00FB168D" w:rsidRDefault="00613F09" w:rsidP="0098065C">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Pays</w:t>
            </w:r>
          </w:p>
          <w:p w14:paraId="302BD470" w14:textId="77777777" w:rsidR="00613F09" w:rsidRPr="00FB168D" w:rsidRDefault="00613F09" w:rsidP="0098065C">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Localités</w:t>
            </w:r>
          </w:p>
        </w:tc>
        <w:tc>
          <w:tcPr>
            <w:tcW w:w="3961" w:type="pct"/>
          </w:tcPr>
          <w:p w14:paraId="1C8195F8" w14:textId="77777777" w:rsidR="00613F09" w:rsidRPr="00FB168D" w:rsidRDefault="00613F09" w:rsidP="0098065C">
            <w:pPr>
              <w:suppressAutoHyphens/>
              <w:spacing w:line="240" w:lineRule="auto"/>
              <w:rPr>
                <w:rFonts w:eastAsia="NSimSun" w:cstheme="minorHAnsi"/>
                <w:bCs/>
                <w:sz w:val="22"/>
                <w:szCs w:val="22"/>
                <w:lang w:eastAsia="zh-CN" w:bidi="hi-IN"/>
              </w:rPr>
            </w:pPr>
            <w:r w:rsidRPr="00FB168D">
              <w:rPr>
                <w:rFonts w:eastAsia="NSimSun" w:cstheme="minorHAnsi"/>
                <w:bCs/>
                <w:sz w:val="22"/>
                <w:szCs w:val="22"/>
                <w:lang w:eastAsia="zh-CN" w:bidi="hi-IN"/>
              </w:rPr>
              <w:t>Mali</w:t>
            </w:r>
          </w:p>
          <w:p w14:paraId="3263174C" w14:textId="6E032393" w:rsidR="00613F09" w:rsidRPr="00FB168D" w:rsidRDefault="00613F09" w:rsidP="0098065C">
            <w:pPr>
              <w:suppressAutoHyphens/>
              <w:spacing w:line="240" w:lineRule="auto"/>
              <w:rPr>
                <w:rFonts w:eastAsia="NSimSun" w:cstheme="minorHAnsi"/>
                <w:bCs/>
                <w:sz w:val="22"/>
                <w:szCs w:val="22"/>
                <w:lang w:eastAsia="zh-CN" w:bidi="hi-IN"/>
              </w:rPr>
            </w:pPr>
            <w:r w:rsidRPr="00FB168D">
              <w:rPr>
                <w:rFonts w:eastAsia="NSimSun" w:cstheme="minorHAnsi"/>
                <w:bCs/>
                <w:sz w:val="22"/>
                <w:szCs w:val="22"/>
                <w:lang w:eastAsia="zh-CN" w:bidi="hi-IN"/>
              </w:rPr>
              <w:t>Bamako</w:t>
            </w:r>
            <w:r w:rsidR="006518A0" w:rsidRPr="00FB168D">
              <w:rPr>
                <w:rFonts w:eastAsia="NSimSun" w:cstheme="minorHAnsi"/>
                <w:bCs/>
                <w:sz w:val="22"/>
                <w:szCs w:val="22"/>
                <w:lang w:eastAsia="zh-CN" w:bidi="hi-IN"/>
              </w:rPr>
              <w:t xml:space="preserve"> (Un q</w:t>
            </w:r>
            <w:r w:rsidRPr="00FB168D">
              <w:rPr>
                <w:rFonts w:eastAsia="NSimSun" w:cstheme="minorHAnsi"/>
                <w:bCs/>
                <w:sz w:val="22"/>
                <w:szCs w:val="22"/>
                <w:lang w:eastAsia="zh-CN" w:bidi="hi-IN"/>
              </w:rPr>
              <w:t>uartier autour de la maison de la femme Rive Droite</w:t>
            </w:r>
            <w:r w:rsidR="006518A0" w:rsidRPr="00FB168D">
              <w:rPr>
                <w:rFonts w:eastAsia="NSimSun" w:cstheme="minorHAnsi"/>
                <w:bCs/>
                <w:sz w:val="22"/>
                <w:szCs w:val="22"/>
                <w:lang w:eastAsia="zh-CN" w:bidi="hi-IN"/>
              </w:rPr>
              <w:t>)</w:t>
            </w:r>
          </w:p>
        </w:tc>
      </w:tr>
      <w:tr w:rsidR="00613F09" w:rsidRPr="00FB168D" w14:paraId="6E2881CF" w14:textId="77777777" w:rsidTr="005F0AE7">
        <w:tc>
          <w:tcPr>
            <w:tcW w:w="1039" w:type="pct"/>
          </w:tcPr>
          <w:p w14:paraId="6B32B76C" w14:textId="77777777" w:rsidR="00613F09" w:rsidRPr="00FB168D" w:rsidRDefault="00613F09" w:rsidP="0098065C">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Secteur</w:t>
            </w:r>
          </w:p>
        </w:tc>
        <w:tc>
          <w:tcPr>
            <w:tcW w:w="3961" w:type="pct"/>
          </w:tcPr>
          <w:p w14:paraId="13B3A75E" w14:textId="77777777" w:rsidR="00613F09" w:rsidRPr="00FB168D" w:rsidRDefault="00613F09" w:rsidP="0098065C">
            <w:pPr>
              <w:suppressAutoHyphens/>
              <w:spacing w:line="240" w:lineRule="auto"/>
              <w:rPr>
                <w:rFonts w:eastAsia="NSimSun" w:cstheme="minorHAnsi"/>
                <w:bCs/>
                <w:sz w:val="22"/>
                <w:szCs w:val="22"/>
                <w:lang w:eastAsia="zh-CN" w:bidi="hi-IN"/>
              </w:rPr>
            </w:pPr>
            <w:r w:rsidRPr="00FB168D">
              <w:rPr>
                <w:rFonts w:eastAsia="NSimSun" w:cstheme="minorHAnsi"/>
                <w:bCs/>
                <w:sz w:val="22"/>
                <w:szCs w:val="22"/>
                <w:lang w:eastAsia="zh-CN" w:bidi="hi-IN"/>
              </w:rPr>
              <w:t xml:space="preserve">Energie </w:t>
            </w:r>
          </w:p>
        </w:tc>
      </w:tr>
      <w:tr w:rsidR="00613F09" w:rsidRPr="00FB168D" w14:paraId="7C716626" w14:textId="77777777" w:rsidTr="005F0AE7">
        <w:tc>
          <w:tcPr>
            <w:tcW w:w="1039" w:type="pct"/>
          </w:tcPr>
          <w:p w14:paraId="2308D90A" w14:textId="77777777" w:rsidR="00613F09" w:rsidRPr="00FB168D" w:rsidRDefault="00613F09" w:rsidP="0098065C">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Durée</w:t>
            </w:r>
          </w:p>
        </w:tc>
        <w:tc>
          <w:tcPr>
            <w:tcW w:w="3961" w:type="pct"/>
          </w:tcPr>
          <w:p w14:paraId="257B0B68" w14:textId="2CC67ECF" w:rsidR="00613F09" w:rsidRPr="00FB168D" w:rsidRDefault="00613F09" w:rsidP="0098065C">
            <w:pPr>
              <w:suppressAutoHyphens/>
              <w:spacing w:line="240" w:lineRule="auto"/>
              <w:rPr>
                <w:rFonts w:eastAsia="NSimSun" w:cstheme="minorHAnsi"/>
                <w:bCs/>
                <w:sz w:val="22"/>
                <w:szCs w:val="22"/>
                <w:lang w:eastAsia="zh-CN" w:bidi="hi-IN"/>
              </w:rPr>
            </w:pPr>
            <w:r w:rsidRPr="00FB168D">
              <w:rPr>
                <w:rFonts w:eastAsia="NSimSun" w:cstheme="minorHAnsi"/>
                <w:bCs/>
                <w:sz w:val="22"/>
                <w:szCs w:val="22"/>
                <w:lang w:eastAsia="zh-CN" w:bidi="hi-IN"/>
              </w:rPr>
              <w:t xml:space="preserve">8 mois </w:t>
            </w:r>
          </w:p>
        </w:tc>
      </w:tr>
      <w:tr w:rsidR="00613F09" w:rsidRPr="00FB168D" w14:paraId="5BDB0BB0" w14:textId="77777777" w:rsidTr="005F0AE7">
        <w:tc>
          <w:tcPr>
            <w:tcW w:w="1039" w:type="pct"/>
          </w:tcPr>
          <w:p w14:paraId="2568CA0D" w14:textId="77777777" w:rsidR="00613F09" w:rsidRPr="00FB168D" w:rsidRDefault="00613F09" w:rsidP="0098065C">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 xml:space="preserve">Description de liens avec les stratégies nationales </w:t>
            </w:r>
          </w:p>
        </w:tc>
        <w:tc>
          <w:tcPr>
            <w:tcW w:w="3961" w:type="pct"/>
          </w:tcPr>
          <w:p w14:paraId="401C0D25" w14:textId="7B97C834" w:rsidR="00613F09" w:rsidRPr="00FB168D" w:rsidRDefault="00613F09" w:rsidP="0098065C">
            <w:pPr>
              <w:rPr>
                <w:rFonts w:cstheme="minorHAnsi"/>
                <w:sz w:val="22"/>
                <w:szCs w:val="22"/>
              </w:rPr>
            </w:pPr>
            <w:r w:rsidRPr="00FB168D">
              <w:rPr>
                <w:rFonts w:cstheme="minorHAnsi"/>
                <w:sz w:val="22"/>
                <w:szCs w:val="22"/>
              </w:rPr>
              <w:t>Le projet "Smoke Free Zone</w:t>
            </w:r>
            <w:r w:rsidR="00367EFD">
              <w:rPr>
                <w:rFonts w:cstheme="minorHAnsi"/>
                <w:sz w:val="22"/>
                <w:szCs w:val="22"/>
              </w:rPr>
              <w:t>s</w:t>
            </w:r>
            <w:r w:rsidRPr="00FB168D">
              <w:rPr>
                <w:rFonts w:cstheme="minorHAnsi"/>
                <w:sz w:val="22"/>
                <w:szCs w:val="22"/>
              </w:rPr>
              <w:t xml:space="preserve"> in Bamako" est aligné sur les priorités nationales du Mali, exprimées dans la Stratégie Nationale pour l’Emergence et le Développement Durable  (SNEDD 2024-2033). Il contribue plus précisément à la réalisation de l’axe stratégique 5 portant sur la "Gestion durable de l’environnement, adaptation aux changements climatiques et résilience".  En promouvant des solutions alternatives viables aux pratiques de cuisson traditionnelles, notamment par la réduction de l’usage du bois et du charbon, le projet encourage l’adoption des pratiques énergétiques plus propres et</w:t>
            </w:r>
            <w:r w:rsidR="007760CB" w:rsidRPr="00FB168D">
              <w:rPr>
                <w:rFonts w:cstheme="minorHAnsi"/>
                <w:sz w:val="22"/>
                <w:szCs w:val="22"/>
              </w:rPr>
              <w:t xml:space="preserve"> </w:t>
            </w:r>
            <w:r w:rsidRPr="00FB168D">
              <w:rPr>
                <w:rFonts w:cstheme="minorHAnsi"/>
                <w:sz w:val="22"/>
                <w:szCs w:val="22"/>
              </w:rPr>
              <w:t xml:space="preserve">durables, participant ainsi à la lutte contre la déforestation et contribuant aux bien-être des ménages  </w:t>
            </w:r>
          </w:p>
          <w:p w14:paraId="0F3115AB" w14:textId="77777777" w:rsidR="00613F09" w:rsidRPr="00FB168D" w:rsidRDefault="00613F09" w:rsidP="0098065C">
            <w:pPr>
              <w:rPr>
                <w:rFonts w:cstheme="minorHAnsi"/>
                <w:sz w:val="22"/>
                <w:szCs w:val="22"/>
              </w:rPr>
            </w:pPr>
            <w:r w:rsidRPr="00FB168D">
              <w:rPr>
                <w:rFonts w:cstheme="minorHAnsi"/>
                <w:sz w:val="22"/>
                <w:szCs w:val="22"/>
              </w:rPr>
              <w:t xml:space="preserve">Dans un contexte marqué par les effets croissants des changements climatiques, cette transition vers des modes de cuisson plus propres allège la pression exercée sur les ressources naturelles et favorise une gestion durable des écosystèmes forestiers. Par ailleurs, le projet accorde une attention particulière à l’éducation environnementale, en menant des </w:t>
            </w:r>
            <w:r w:rsidRPr="00FB168D">
              <w:rPr>
                <w:rFonts w:cstheme="minorHAnsi"/>
                <w:sz w:val="22"/>
                <w:szCs w:val="22"/>
              </w:rPr>
              <w:lastRenderedPageBreak/>
              <w:t xml:space="preserve">actions de sensibilisation destinées à informer les communautés sur les effets néfastes de la cuisson traditionnelle. Ces actions participent au renforcement des capacités d’adaptation des populations face aux défis environnementaux et climatiques. </w:t>
            </w:r>
          </w:p>
          <w:p w14:paraId="7CD6E9FA" w14:textId="1EBF592B" w:rsidR="00613F09" w:rsidRPr="00FB168D" w:rsidRDefault="00613F09" w:rsidP="00D410DA">
            <w:pPr>
              <w:rPr>
                <w:rFonts w:cstheme="minorHAnsi"/>
                <w:sz w:val="22"/>
                <w:szCs w:val="22"/>
              </w:rPr>
            </w:pPr>
            <w:r w:rsidRPr="00FB168D">
              <w:rPr>
                <w:rFonts w:cstheme="minorHAnsi"/>
                <w:sz w:val="22"/>
                <w:szCs w:val="22"/>
              </w:rPr>
              <w:t xml:space="preserve">Cet alignement stratégique renforce ainsi la pertinence et la cohérence du projet, tout en garantissant son adéquation avec les priorités nationales de développement durable du Mali. </w:t>
            </w:r>
          </w:p>
        </w:tc>
      </w:tr>
      <w:tr w:rsidR="00EF0589" w:rsidRPr="00FB168D" w14:paraId="6BFC1AAA" w14:textId="77777777" w:rsidTr="005F0AE7">
        <w:tc>
          <w:tcPr>
            <w:tcW w:w="1039" w:type="pct"/>
          </w:tcPr>
          <w:p w14:paraId="4B2DB670" w14:textId="08F6398A" w:rsidR="00EF0589" w:rsidRPr="00094628" w:rsidRDefault="00EF0589" w:rsidP="00EF0589">
            <w:pPr>
              <w:suppressAutoHyphens/>
              <w:spacing w:line="240" w:lineRule="auto"/>
              <w:rPr>
                <w:rFonts w:eastAsia="NSimSun" w:cstheme="minorHAnsi"/>
                <w:b/>
                <w:sz w:val="22"/>
                <w:szCs w:val="22"/>
                <w:lang w:eastAsia="zh-CN" w:bidi="hi-IN"/>
              </w:rPr>
            </w:pPr>
            <w:r w:rsidRPr="00094628">
              <w:rPr>
                <w:rFonts w:eastAsia="NSimSun" w:cstheme="minorHAnsi"/>
                <w:b/>
                <w:sz w:val="22"/>
                <w:szCs w:val="22"/>
                <w:lang w:eastAsia="zh-CN" w:bidi="hi-IN"/>
              </w:rPr>
              <w:lastRenderedPageBreak/>
              <w:t xml:space="preserve">Impact </w:t>
            </w:r>
          </w:p>
        </w:tc>
        <w:tc>
          <w:tcPr>
            <w:tcW w:w="3961" w:type="pct"/>
          </w:tcPr>
          <w:p w14:paraId="33BCC5C6" w14:textId="430C0DAD" w:rsidR="00EF0589" w:rsidRPr="00094628" w:rsidRDefault="00094628" w:rsidP="00EF0589">
            <w:pPr>
              <w:rPr>
                <w:rFonts w:cstheme="minorHAnsi"/>
                <w:sz w:val="22"/>
                <w:szCs w:val="22"/>
              </w:rPr>
            </w:pPr>
            <w:r w:rsidRPr="00094628">
              <w:rPr>
                <w:rFonts w:eastAsia="NSimSun" w:cstheme="minorHAnsi"/>
                <w:bCs/>
                <w:sz w:val="22"/>
                <w:szCs w:val="22"/>
                <w:lang w:eastAsia="zh-CN" w:bidi="hi-IN"/>
              </w:rPr>
              <w:t>Réduction de la dépendance à la biomasse à une évolution vers l'utilisation exclusive et l'adoption complète de technologies et combustibles de cuisson propre à long terme</w:t>
            </w:r>
          </w:p>
        </w:tc>
      </w:tr>
      <w:tr w:rsidR="00EF0589" w:rsidRPr="00FB168D" w14:paraId="4F959567" w14:textId="77777777" w:rsidTr="005F0AE7">
        <w:tc>
          <w:tcPr>
            <w:tcW w:w="1039" w:type="pct"/>
          </w:tcPr>
          <w:p w14:paraId="7D5C401E" w14:textId="2179394B" w:rsidR="00EF0589" w:rsidRPr="00FB168D" w:rsidRDefault="00EF0589" w:rsidP="00EF0589">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 xml:space="preserve">Objectif global </w:t>
            </w:r>
          </w:p>
        </w:tc>
        <w:tc>
          <w:tcPr>
            <w:tcW w:w="3961" w:type="pct"/>
          </w:tcPr>
          <w:p w14:paraId="5714AF4A" w14:textId="1E9999EF" w:rsidR="00EF0589" w:rsidRPr="00FB168D" w:rsidRDefault="00EF0589" w:rsidP="00EF0589">
            <w:pPr>
              <w:suppressAutoHyphens/>
              <w:spacing w:line="240" w:lineRule="auto"/>
              <w:rPr>
                <w:rFonts w:eastAsia="NSimSun" w:cstheme="minorHAnsi"/>
                <w:bCs/>
                <w:sz w:val="22"/>
                <w:szCs w:val="22"/>
                <w:lang w:eastAsia="zh-CN" w:bidi="hi-IN"/>
              </w:rPr>
            </w:pPr>
            <w:r w:rsidRPr="00FB168D">
              <w:rPr>
                <w:rFonts w:eastAsia="NSimSun" w:cstheme="minorHAnsi"/>
                <w:bCs/>
                <w:sz w:val="22"/>
                <w:szCs w:val="22"/>
                <w:lang w:eastAsia="zh-CN" w:bidi="hi-IN"/>
              </w:rPr>
              <w:t>Favoriser l’adoption durable de solutions de cuisson propre via une approche communautaire et un changement de comportement</w:t>
            </w:r>
          </w:p>
        </w:tc>
      </w:tr>
      <w:tr w:rsidR="00EF0589" w:rsidRPr="00FB168D" w14:paraId="4D77DC43" w14:textId="77777777" w:rsidTr="005F0AE7">
        <w:trPr>
          <w:trHeight w:val="1667"/>
        </w:trPr>
        <w:tc>
          <w:tcPr>
            <w:tcW w:w="1039" w:type="pct"/>
          </w:tcPr>
          <w:p w14:paraId="3891835C" w14:textId="77777777" w:rsidR="00EF0589" w:rsidRPr="008E06D4" w:rsidRDefault="00EF0589" w:rsidP="00EF0589">
            <w:pPr>
              <w:suppressAutoHyphens/>
              <w:spacing w:line="240" w:lineRule="auto"/>
              <w:rPr>
                <w:rFonts w:eastAsia="NSimSun" w:cstheme="minorHAnsi"/>
                <w:b/>
                <w:sz w:val="22"/>
                <w:szCs w:val="22"/>
                <w:lang w:eastAsia="zh-CN" w:bidi="hi-IN"/>
              </w:rPr>
            </w:pPr>
            <w:r w:rsidRPr="008E06D4">
              <w:rPr>
                <w:rFonts w:eastAsia="NSimSun" w:cstheme="minorHAnsi"/>
                <w:b/>
                <w:sz w:val="22"/>
                <w:szCs w:val="22"/>
                <w:lang w:eastAsia="zh-CN" w:bidi="hi-IN"/>
              </w:rPr>
              <w:t>Effets (Outcomes)</w:t>
            </w:r>
          </w:p>
        </w:tc>
        <w:tc>
          <w:tcPr>
            <w:tcW w:w="3961" w:type="pct"/>
            <w:shd w:val="clear" w:color="auto" w:fill="FFFFFF" w:themeFill="background1"/>
          </w:tcPr>
          <w:p w14:paraId="41692C53" w14:textId="77777777" w:rsidR="00EF0589" w:rsidRPr="008E06D4" w:rsidRDefault="00EF0589" w:rsidP="00EF0589">
            <w:pPr>
              <w:pStyle w:val="ListParagraph"/>
              <w:numPr>
                <w:ilvl w:val="0"/>
                <w:numId w:val="11"/>
              </w:numPr>
              <w:tabs>
                <w:tab w:val="clear" w:pos="794"/>
              </w:tabs>
              <w:suppressAutoHyphens/>
              <w:spacing w:line="240" w:lineRule="auto"/>
              <w:ind w:left="327"/>
              <w:contextualSpacing/>
              <w:rPr>
                <w:rFonts w:asciiTheme="minorHAnsi" w:eastAsia="NSimSun" w:hAnsiTheme="minorHAnsi" w:cstheme="minorHAnsi"/>
                <w:bCs/>
                <w:sz w:val="22"/>
                <w:szCs w:val="22"/>
                <w:lang w:eastAsia="zh-CN" w:bidi="hi-IN"/>
              </w:rPr>
            </w:pPr>
            <w:r w:rsidRPr="008E06D4">
              <w:rPr>
                <w:rFonts w:asciiTheme="minorHAnsi" w:eastAsia="NSimSun" w:hAnsiTheme="minorHAnsi" w:cstheme="minorHAnsi"/>
                <w:bCs/>
                <w:sz w:val="22"/>
                <w:szCs w:val="22"/>
                <w:lang w:eastAsia="zh-CN" w:bidi="hi-IN"/>
              </w:rPr>
              <w:t xml:space="preserve">Une augmentation initiale d'au moins 25 % du taux d'adoption des technologies de cuisson propre dans la zone d’intervention par rapport au nombre ménages touchés (1500) </w:t>
            </w:r>
          </w:p>
          <w:p w14:paraId="7AD64610" w14:textId="77777777" w:rsidR="00EF0589" w:rsidRPr="008E06D4" w:rsidRDefault="00EF0589" w:rsidP="00EF0589">
            <w:pPr>
              <w:pStyle w:val="ListParagraph"/>
              <w:numPr>
                <w:ilvl w:val="0"/>
                <w:numId w:val="11"/>
              </w:numPr>
              <w:tabs>
                <w:tab w:val="clear" w:pos="794"/>
              </w:tabs>
              <w:suppressAutoHyphens/>
              <w:spacing w:line="240" w:lineRule="auto"/>
              <w:ind w:left="327"/>
              <w:contextualSpacing/>
              <w:rPr>
                <w:rFonts w:asciiTheme="minorHAnsi" w:eastAsia="NSimSun" w:hAnsiTheme="minorHAnsi" w:cstheme="minorHAnsi"/>
                <w:bCs/>
                <w:sz w:val="22"/>
                <w:szCs w:val="22"/>
                <w:lang w:eastAsia="zh-CN" w:bidi="hi-IN"/>
              </w:rPr>
            </w:pPr>
            <w:r w:rsidRPr="008E06D4">
              <w:rPr>
                <w:rFonts w:asciiTheme="minorHAnsi" w:eastAsia="NSimSun" w:hAnsiTheme="minorHAnsi" w:cstheme="minorHAnsi"/>
                <w:bCs/>
                <w:sz w:val="22"/>
                <w:szCs w:val="22"/>
                <w:lang w:eastAsia="zh-CN" w:bidi="hi-IN"/>
              </w:rPr>
              <w:t>Réduction de l'exposition à la fumée et les risques sanitaires</w:t>
            </w:r>
          </w:p>
          <w:p w14:paraId="094AD2D2" w14:textId="77777777" w:rsidR="00EF0589" w:rsidRPr="008E06D4" w:rsidRDefault="00EF0589" w:rsidP="00EF0589">
            <w:pPr>
              <w:pStyle w:val="ListParagraph"/>
              <w:numPr>
                <w:ilvl w:val="0"/>
                <w:numId w:val="11"/>
              </w:numPr>
              <w:tabs>
                <w:tab w:val="clear" w:pos="794"/>
              </w:tabs>
              <w:suppressAutoHyphens/>
              <w:spacing w:line="240" w:lineRule="auto"/>
              <w:ind w:left="327"/>
              <w:contextualSpacing/>
              <w:rPr>
                <w:rFonts w:asciiTheme="minorHAnsi" w:eastAsia="NSimSun" w:hAnsiTheme="minorHAnsi" w:cstheme="minorHAnsi"/>
                <w:bCs/>
                <w:sz w:val="22"/>
                <w:szCs w:val="22"/>
                <w:lang w:eastAsia="zh-CN" w:bidi="hi-IN"/>
              </w:rPr>
            </w:pPr>
            <w:r w:rsidRPr="008E06D4">
              <w:rPr>
                <w:rFonts w:asciiTheme="minorHAnsi" w:eastAsia="NSimSun" w:hAnsiTheme="minorHAnsi" w:cstheme="minorHAnsi"/>
                <w:bCs/>
                <w:sz w:val="22"/>
                <w:szCs w:val="22"/>
                <w:lang w:eastAsia="zh-CN" w:bidi="hi-IN"/>
              </w:rPr>
              <w:t>Économies réalisées grâce à la baisse de la consommation de combustible, en particulier si un foyer de cuisson propre adopté est exclusivement utilisé suivant l’échelle de changement de comportement SFZ</w:t>
            </w:r>
          </w:p>
          <w:p w14:paraId="2313E654" w14:textId="79AD51C7" w:rsidR="00EF0589" w:rsidRPr="008E06D4" w:rsidRDefault="00EF0589" w:rsidP="00094628">
            <w:pPr>
              <w:pStyle w:val="ListParagraph"/>
              <w:numPr>
                <w:ilvl w:val="0"/>
                <w:numId w:val="11"/>
              </w:numPr>
              <w:tabs>
                <w:tab w:val="clear" w:pos="794"/>
              </w:tabs>
              <w:suppressAutoHyphens/>
              <w:spacing w:line="240" w:lineRule="auto"/>
              <w:ind w:left="327"/>
              <w:contextualSpacing/>
              <w:rPr>
                <w:rFonts w:asciiTheme="minorHAnsi" w:eastAsia="NSimSun" w:hAnsiTheme="minorHAnsi" w:cstheme="minorHAnsi"/>
                <w:bCs/>
                <w:sz w:val="22"/>
                <w:szCs w:val="22"/>
                <w:lang w:eastAsia="zh-CN" w:bidi="hi-IN"/>
              </w:rPr>
            </w:pPr>
            <w:r w:rsidRPr="008E06D4">
              <w:rPr>
                <w:rFonts w:asciiTheme="minorHAnsi" w:eastAsia="NSimSun" w:hAnsiTheme="minorHAnsi" w:cstheme="minorHAnsi"/>
                <w:bCs/>
                <w:sz w:val="22"/>
                <w:szCs w:val="22"/>
                <w:lang w:eastAsia="zh-CN" w:bidi="hi-IN"/>
              </w:rPr>
              <w:t>Réduction de la pénibilité du travail pour les femmes et les enfants, qui sont également exposés à des risques lorsque les ménages utilisent du bois de chauffe</w:t>
            </w:r>
          </w:p>
        </w:tc>
      </w:tr>
      <w:tr w:rsidR="00EF0589" w:rsidRPr="00FB168D" w14:paraId="13E9C7DD" w14:textId="77777777" w:rsidTr="005F0AE7">
        <w:trPr>
          <w:trHeight w:val="1667"/>
        </w:trPr>
        <w:tc>
          <w:tcPr>
            <w:tcW w:w="1039" w:type="pct"/>
          </w:tcPr>
          <w:p w14:paraId="0A49D594" w14:textId="77777777" w:rsidR="00EF0589" w:rsidRPr="00FB168D" w:rsidRDefault="00EF0589" w:rsidP="00EF0589">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 xml:space="preserve">Outputs (résultats) </w:t>
            </w:r>
          </w:p>
        </w:tc>
        <w:tc>
          <w:tcPr>
            <w:tcW w:w="3961" w:type="pct"/>
            <w:shd w:val="clear" w:color="auto" w:fill="FFFFFF" w:themeFill="background1"/>
          </w:tcPr>
          <w:p w14:paraId="2C00D7C1" w14:textId="77777777" w:rsidR="000778F1" w:rsidRDefault="001B7FC2" w:rsidP="0092732A">
            <w:pPr>
              <w:pStyle w:val="ListParagraph"/>
              <w:numPr>
                <w:ilvl w:val="0"/>
                <w:numId w:val="11"/>
              </w:numPr>
              <w:tabs>
                <w:tab w:val="clear" w:pos="794"/>
              </w:tabs>
              <w:suppressAutoHyphens/>
              <w:spacing w:line="240" w:lineRule="auto"/>
              <w:ind w:left="479"/>
              <w:contextualSpacing/>
              <w:rPr>
                <w:rFonts w:asciiTheme="minorHAnsi" w:eastAsia="NSimSun" w:hAnsiTheme="minorHAnsi" w:cstheme="minorHAnsi"/>
                <w:bCs/>
                <w:sz w:val="22"/>
                <w:szCs w:val="22"/>
                <w:lang w:eastAsia="zh-CN" w:bidi="hi-IN"/>
              </w:rPr>
            </w:pPr>
            <w:r w:rsidRPr="00887A8C">
              <w:rPr>
                <w:rFonts w:asciiTheme="minorHAnsi" w:eastAsia="NSimSun" w:hAnsiTheme="minorHAnsi" w:cstheme="minorHAnsi"/>
                <w:bCs/>
                <w:sz w:val="22"/>
                <w:szCs w:val="22"/>
                <w:lang w:eastAsia="zh-CN" w:bidi="hi-IN"/>
              </w:rPr>
              <w:t>Condui</w:t>
            </w:r>
            <w:r w:rsidR="006201D3" w:rsidRPr="00887A8C">
              <w:rPr>
                <w:rFonts w:asciiTheme="minorHAnsi" w:eastAsia="NSimSun" w:hAnsiTheme="minorHAnsi" w:cstheme="minorHAnsi"/>
                <w:bCs/>
                <w:sz w:val="22"/>
                <w:szCs w:val="22"/>
                <w:lang w:eastAsia="zh-CN" w:bidi="hi-IN"/>
              </w:rPr>
              <w:t>t</w:t>
            </w:r>
            <w:r w:rsidRPr="00887A8C">
              <w:rPr>
                <w:rFonts w:asciiTheme="minorHAnsi" w:eastAsia="NSimSun" w:hAnsiTheme="minorHAnsi" w:cstheme="minorHAnsi"/>
                <w:bCs/>
                <w:sz w:val="22"/>
                <w:szCs w:val="22"/>
                <w:lang w:eastAsia="zh-CN" w:bidi="hi-IN"/>
              </w:rPr>
              <w:t xml:space="preserve">e </w:t>
            </w:r>
            <w:r w:rsidR="006201D3" w:rsidRPr="00887A8C">
              <w:rPr>
                <w:rFonts w:asciiTheme="minorHAnsi" w:eastAsia="NSimSun" w:hAnsiTheme="minorHAnsi" w:cstheme="minorHAnsi"/>
                <w:bCs/>
                <w:sz w:val="22"/>
                <w:szCs w:val="22"/>
                <w:lang w:eastAsia="zh-CN" w:bidi="hi-IN"/>
              </w:rPr>
              <w:t xml:space="preserve">d’une </w:t>
            </w:r>
            <w:r w:rsidRPr="00887A8C">
              <w:rPr>
                <w:rFonts w:asciiTheme="minorHAnsi" w:eastAsia="NSimSun" w:hAnsiTheme="minorHAnsi" w:cstheme="minorHAnsi"/>
                <w:bCs/>
                <w:sz w:val="22"/>
                <w:szCs w:val="22"/>
                <w:lang w:eastAsia="zh-CN" w:bidi="hi-IN"/>
              </w:rPr>
              <w:t>recherche informative pour identifier les facteurs moteurs/freins comportementaux</w:t>
            </w:r>
            <w:r w:rsidR="006201D3" w:rsidRPr="00887A8C">
              <w:rPr>
                <w:rFonts w:asciiTheme="minorHAnsi" w:eastAsia="NSimSun" w:hAnsiTheme="minorHAnsi" w:cstheme="minorHAnsi"/>
                <w:bCs/>
                <w:sz w:val="22"/>
                <w:szCs w:val="22"/>
                <w:lang w:eastAsia="zh-CN" w:bidi="hi-IN"/>
              </w:rPr>
              <w:t xml:space="preserve"> liés à l'adoption des technologies de cuisson propres</w:t>
            </w:r>
          </w:p>
          <w:p w14:paraId="5A211498" w14:textId="77777777" w:rsidR="0092732A" w:rsidRPr="0092732A" w:rsidRDefault="000778F1" w:rsidP="0092732A">
            <w:pPr>
              <w:pStyle w:val="ListParagraph"/>
              <w:numPr>
                <w:ilvl w:val="0"/>
                <w:numId w:val="11"/>
              </w:numPr>
              <w:tabs>
                <w:tab w:val="clear" w:pos="794"/>
              </w:tabs>
              <w:suppressAutoHyphens/>
              <w:spacing w:line="240" w:lineRule="auto"/>
              <w:ind w:left="479"/>
              <w:contextualSpacing/>
              <w:rPr>
                <w:rFonts w:asciiTheme="minorHAnsi" w:eastAsia="NSimSun" w:hAnsiTheme="minorHAnsi" w:cstheme="minorHAnsi"/>
                <w:bCs/>
                <w:sz w:val="22"/>
                <w:szCs w:val="22"/>
                <w:lang w:eastAsia="zh-CN" w:bidi="hi-IN"/>
              </w:rPr>
            </w:pPr>
            <w:r w:rsidRPr="0092732A">
              <w:rPr>
                <w:rFonts w:asciiTheme="minorHAnsi" w:eastAsia="NSimSun" w:hAnsiTheme="minorHAnsi" w:cstheme="minorHAnsi"/>
                <w:bCs/>
                <w:sz w:val="22"/>
                <w:szCs w:val="22"/>
                <w:lang w:eastAsia="zh-CN" w:bidi="hi-IN"/>
              </w:rPr>
              <w:t>Meilleure compréhension de la nécessité d'adopter des technologies de cuisson propres pour les ménages dans la zone cible</w:t>
            </w:r>
          </w:p>
          <w:p w14:paraId="00E6EFA4" w14:textId="074F094B" w:rsidR="000778F1" w:rsidRPr="0092732A" w:rsidRDefault="000778F1" w:rsidP="0092732A">
            <w:pPr>
              <w:pStyle w:val="ListParagraph"/>
              <w:numPr>
                <w:ilvl w:val="0"/>
                <w:numId w:val="11"/>
              </w:numPr>
              <w:tabs>
                <w:tab w:val="clear" w:pos="794"/>
              </w:tabs>
              <w:suppressAutoHyphens/>
              <w:spacing w:line="240" w:lineRule="auto"/>
              <w:ind w:left="479"/>
              <w:contextualSpacing/>
              <w:rPr>
                <w:rFonts w:asciiTheme="minorHAnsi" w:eastAsia="NSimSun" w:hAnsiTheme="minorHAnsi" w:cstheme="minorHAnsi"/>
                <w:bCs/>
                <w:sz w:val="22"/>
                <w:szCs w:val="22"/>
                <w:lang w:eastAsia="zh-CN" w:bidi="hi-IN"/>
              </w:rPr>
            </w:pPr>
            <w:r w:rsidRPr="0092732A">
              <w:rPr>
                <w:rFonts w:asciiTheme="minorHAnsi" w:eastAsia="NSimSun" w:hAnsiTheme="minorHAnsi" w:cstheme="minorHAnsi"/>
                <w:bCs/>
                <w:sz w:val="22"/>
                <w:szCs w:val="22"/>
                <w:lang w:eastAsia="zh-CN" w:bidi="hi-IN"/>
              </w:rPr>
              <w:t xml:space="preserve">Les ménages changent progressivement leurs </w:t>
            </w:r>
            <w:r w:rsidR="006D204A">
              <w:rPr>
                <w:rFonts w:asciiTheme="minorHAnsi" w:eastAsia="NSimSun" w:hAnsiTheme="minorHAnsi" w:cstheme="minorHAnsi"/>
                <w:bCs/>
                <w:sz w:val="22"/>
                <w:szCs w:val="22"/>
                <w:lang w:eastAsia="zh-CN" w:bidi="hi-IN"/>
              </w:rPr>
              <w:t xml:space="preserve">comportements et </w:t>
            </w:r>
            <w:r w:rsidRPr="0092732A">
              <w:rPr>
                <w:rFonts w:asciiTheme="minorHAnsi" w:eastAsia="NSimSun" w:hAnsiTheme="minorHAnsi" w:cstheme="minorHAnsi"/>
                <w:bCs/>
                <w:sz w:val="22"/>
                <w:szCs w:val="22"/>
                <w:lang w:eastAsia="zh-CN" w:bidi="hi-IN"/>
              </w:rPr>
              <w:t>pratiques de cuisson en suivant les étapes définit sur l'échelle de changement de comportement SFZ</w:t>
            </w:r>
          </w:p>
          <w:p w14:paraId="52A060EC" w14:textId="741520CC" w:rsidR="001B7FC2" w:rsidRPr="00116778" w:rsidRDefault="00307F5A" w:rsidP="0092732A">
            <w:pPr>
              <w:pStyle w:val="ListParagraph"/>
              <w:numPr>
                <w:ilvl w:val="0"/>
                <w:numId w:val="11"/>
              </w:numPr>
              <w:tabs>
                <w:tab w:val="clear" w:pos="794"/>
              </w:tabs>
              <w:suppressAutoHyphens/>
              <w:spacing w:line="240" w:lineRule="auto"/>
              <w:ind w:left="479"/>
              <w:contextualSpacing/>
              <w:rPr>
                <w:rFonts w:asciiTheme="minorHAnsi" w:eastAsia="NSimSun" w:hAnsiTheme="minorHAnsi" w:cstheme="minorHAnsi"/>
                <w:bCs/>
                <w:sz w:val="22"/>
                <w:szCs w:val="22"/>
                <w:lang w:eastAsia="zh-CN" w:bidi="hi-IN"/>
              </w:rPr>
            </w:pPr>
            <w:r w:rsidRPr="00116778">
              <w:rPr>
                <w:rFonts w:asciiTheme="minorHAnsi" w:eastAsia="NSimSun" w:hAnsiTheme="minorHAnsi" w:cstheme="minorHAnsi"/>
                <w:bCs/>
                <w:sz w:val="22"/>
                <w:szCs w:val="22"/>
                <w:lang w:eastAsia="zh-CN" w:bidi="hi-IN"/>
              </w:rPr>
              <w:t>Mis</w:t>
            </w:r>
            <w:r w:rsidR="001B7FC2" w:rsidRPr="00116778">
              <w:rPr>
                <w:rFonts w:asciiTheme="minorHAnsi" w:eastAsia="NSimSun" w:hAnsiTheme="minorHAnsi" w:cstheme="minorHAnsi"/>
                <w:bCs/>
                <w:sz w:val="22"/>
                <w:szCs w:val="22"/>
                <w:lang w:eastAsia="zh-CN" w:bidi="hi-IN"/>
              </w:rPr>
              <w:t xml:space="preserve">e en place </w:t>
            </w:r>
            <w:r w:rsidRPr="00116778">
              <w:rPr>
                <w:rFonts w:asciiTheme="minorHAnsi" w:eastAsia="NSimSun" w:hAnsiTheme="minorHAnsi" w:cstheme="minorHAnsi"/>
                <w:bCs/>
                <w:sz w:val="22"/>
                <w:szCs w:val="22"/>
                <w:lang w:eastAsia="zh-CN" w:bidi="hi-IN"/>
              </w:rPr>
              <w:t>d’</w:t>
            </w:r>
            <w:r w:rsidR="001B7FC2" w:rsidRPr="00116778">
              <w:rPr>
                <w:rFonts w:asciiTheme="minorHAnsi" w:eastAsia="NSimSun" w:hAnsiTheme="minorHAnsi" w:cstheme="minorHAnsi"/>
                <w:bCs/>
                <w:sz w:val="22"/>
                <w:szCs w:val="22"/>
                <w:lang w:eastAsia="zh-CN" w:bidi="hi-IN"/>
              </w:rPr>
              <w:t xml:space="preserve">un réseau local de pairs éducateurs (composé de jeunes </w:t>
            </w:r>
            <w:r w:rsidRPr="00116778">
              <w:rPr>
                <w:rFonts w:asciiTheme="minorHAnsi" w:eastAsia="NSimSun" w:hAnsiTheme="minorHAnsi" w:cstheme="minorHAnsi"/>
                <w:bCs/>
                <w:sz w:val="22"/>
                <w:szCs w:val="22"/>
                <w:lang w:eastAsia="zh-CN" w:bidi="hi-IN"/>
              </w:rPr>
              <w:t>g</w:t>
            </w:r>
            <w:r w:rsidR="001B7FC2" w:rsidRPr="00116778">
              <w:rPr>
                <w:rFonts w:asciiTheme="minorHAnsi" w:eastAsia="NSimSun" w:hAnsiTheme="minorHAnsi" w:cstheme="minorHAnsi"/>
                <w:bCs/>
                <w:sz w:val="22"/>
                <w:szCs w:val="22"/>
                <w:lang w:eastAsia="zh-CN" w:bidi="hi-IN"/>
              </w:rPr>
              <w:t xml:space="preserve">reen </w:t>
            </w:r>
            <w:r w:rsidRPr="00116778">
              <w:rPr>
                <w:rFonts w:asciiTheme="minorHAnsi" w:eastAsia="NSimSun" w:hAnsiTheme="minorHAnsi" w:cstheme="minorHAnsi"/>
                <w:bCs/>
                <w:sz w:val="22"/>
                <w:szCs w:val="22"/>
                <w:lang w:eastAsia="zh-CN" w:bidi="hi-IN"/>
              </w:rPr>
              <w:t>c</w:t>
            </w:r>
            <w:r w:rsidR="001B7FC2" w:rsidRPr="00116778">
              <w:rPr>
                <w:rFonts w:asciiTheme="minorHAnsi" w:eastAsia="NSimSun" w:hAnsiTheme="minorHAnsi" w:cstheme="minorHAnsi"/>
                <w:bCs/>
                <w:sz w:val="22"/>
                <w:szCs w:val="22"/>
                <w:lang w:eastAsia="zh-CN" w:bidi="hi-IN"/>
              </w:rPr>
              <w:t>oaches et femmes leaders) pour la diffusion des messages en faveur de l'adoption des solutions de cuisson propre</w:t>
            </w:r>
          </w:p>
          <w:p w14:paraId="5CEA4471" w14:textId="77777777" w:rsidR="001B7FC2" w:rsidRPr="0092732A" w:rsidRDefault="00116778" w:rsidP="0092732A">
            <w:pPr>
              <w:pStyle w:val="ListParagraph"/>
              <w:numPr>
                <w:ilvl w:val="0"/>
                <w:numId w:val="11"/>
              </w:numPr>
              <w:tabs>
                <w:tab w:val="clear" w:pos="794"/>
              </w:tabs>
              <w:suppressAutoHyphens/>
              <w:spacing w:line="240" w:lineRule="auto"/>
              <w:ind w:left="479"/>
              <w:contextualSpacing/>
              <w:rPr>
                <w:rFonts w:asciiTheme="minorHAnsi" w:eastAsia="NSimSun" w:hAnsiTheme="minorHAnsi" w:cstheme="minorHAnsi"/>
                <w:bCs/>
                <w:sz w:val="22"/>
                <w:szCs w:val="22"/>
                <w:lang w:eastAsia="zh-CN" w:bidi="hi-IN"/>
              </w:rPr>
            </w:pPr>
            <w:r w:rsidRPr="00116778">
              <w:rPr>
                <w:rFonts w:asciiTheme="minorHAnsi" w:eastAsia="NSimSun" w:hAnsiTheme="minorHAnsi" w:cstheme="minorHAnsi"/>
                <w:bCs/>
                <w:sz w:val="22"/>
                <w:szCs w:val="22"/>
                <w:lang w:eastAsia="zh-CN" w:bidi="hi-IN"/>
              </w:rPr>
              <w:t>Développement et mise en œuvre des approches et activités de Communication pour le Changement de Comportement</w:t>
            </w:r>
            <w:r w:rsidR="001B7FC2" w:rsidRPr="00116778">
              <w:rPr>
                <w:rFonts w:asciiTheme="minorHAnsi" w:eastAsia="NSimSun" w:hAnsiTheme="minorHAnsi" w:cstheme="minorHAnsi"/>
                <w:bCs/>
                <w:sz w:val="22"/>
                <w:szCs w:val="22"/>
                <w:lang w:eastAsia="zh-CN" w:bidi="hi-IN"/>
              </w:rPr>
              <w:t xml:space="preserve"> (réunions, porte-à-porte, Journées SFV)</w:t>
            </w:r>
          </w:p>
          <w:p w14:paraId="229A48DB" w14:textId="23192F40" w:rsidR="0092732A" w:rsidRPr="0092732A" w:rsidRDefault="0092732A" w:rsidP="0092732A">
            <w:pPr>
              <w:pStyle w:val="ListParagraph"/>
              <w:numPr>
                <w:ilvl w:val="0"/>
                <w:numId w:val="11"/>
              </w:numPr>
              <w:tabs>
                <w:tab w:val="clear" w:pos="794"/>
              </w:tabs>
              <w:suppressAutoHyphens/>
              <w:spacing w:line="240" w:lineRule="auto"/>
              <w:ind w:left="479"/>
              <w:contextualSpacing/>
              <w:rPr>
                <w:rFonts w:asciiTheme="minorHAnsi" w:eastAsia="NSimSun" w:hAnsiTheme="minorHAnsi" w:cstheme="minorHAnsi"/>
                <w:bCs/>
                <w:sz w:val="22"/>
                <w:szCs w:val="22"/>
                <w:lang w:eastAsia="zh-CN" w:bidi="hi-IN"/>
              </w:rPr>
            </w:pPr>
            <w:r w:rsidRPr="0092732A">
              <w:rPr>
                <w:rFonts w:asciiTheme="minorHAnsi" w:eastAsia="NSimSun" w:hAnsiTheme="minorHAnsi" w:cstheme="minorHAnsi"/>
                <w:bCs/>
                <w:sz w:val="22"/>
                <w:szCs w:val="22"/>
                <w:lang w:eastAsia="zh-CN" w:bidi="hi-IN"/>
              </w:rPr>
              <w:t xml:space="preserve">Promotion des </w:t>
            </w:r>
            <w:r w:rsidRPr="000778F1">
              <w:rPr>
                <w:rFonts w:asciiTheme="minorHAnsi" w:eastAsia="NSimSun" w:hAnsiTheme="minorHAnsi" w:cstheme="minorHAnsi"/>
                <w:bCs/>
                <w:sz w:val="22"/>
                <w:szCs w:val="22"/>
                <w:lang w:eastAsia="zh-CN" w:bidi="hi-IN"/>
              </w:rPr>
              <w:t>équipements de cuisson propre</w:t>
            </w:r>
          </w:p>
        </w:tc>
      </w:tr>
      <w:tr w:rsidR="00EF0589" w:rsidRPr="00FB168D" w14:paraId="700FCD5D" w14:textId="77777777" w:rsidTr="00C11E1B">
        <w:trPr>
          <w:trHeight w:val="493"/>
        </w:trPr>
        <w:tc>
          <w:tcPr>
            <w:tcW w:w="1039" w:type="pct"/>
          </w:tcPr>
          <w:p w14:paraId="0AA515A5" w14:textId="63CB5EC7" w:rsidR="00EF0589" w:rsidRPr="00FB168D" w:rsidRDefault="00EF0589" w:rsidP="00EF0589">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 xml:space="preserve">Cibles directes </w:t>
            </w:r>
          </w:p>
        </w:tc>
        <w:tc>
          <w:tcPr>
            <w:tcW w:w="3961" w:type="pct"/>
            <w:shd w:val="clear" w:color="auto" w:fill="FFFFFF" w:themeFill="background1"/>
          </w:tcPr>
          <w:p w14:paraId="7A3C22CB" w14:textId="77777777" w:rsidR="00EF0589" w:rsidRPr="00FB168D" w:rsidRDefault="00EF0589" w:rsidP="00EF0589">
            <w:pPr>
              <w:suppressAutoHyphens/>
              <w:spacing w:line="240" w:lineRule="auto"/>
              <w:rPr>
                <w:rFonts w:eastAsia="NSimSun" w:cstheme="minorHAnsi"/>
                <w:bCs/>
                <w:sz w:val="22"/>
                <w:szCs w:val="22"/>
                <w:lang w:eastAsia="zh-CN" w:bidi="hi-IN"/>
              </w:rPr>
            </w:pPr>
            <w:r w:rsidRPr="00FB168D">
              <w:rPr>
                <w:rFonts w:eastAsia="NSimSun" w:cstheme="minorHAnsi"/>
                <w:bCs/>
                <w:sz w:val="22"/>
                <w:szCs w:val="22"/>
                <w:lang w:eastAsia="zh-CN" w:bidi="hi-IN"/>
              </w:rPr>
              <w:t>1 500 ménages, femmes, jeunes, leaders communautaires</w:t>
            </w:r>
          </w:p>
        </w:tc>
      </w:tr>
      <w:tr w:rsidR="00EF0589" w:rsidRPr="00FB168D" w14:paraId="077DA913" w14:textId="77777777" w:rsidTr="005F0AE7">
        <w:trPr>
          <w:trHeight w:val="595"/>
        </w:trPr>
        <w:tc>
          <w:tcPr>
            <w:tcW w:w="1039" w:type="pct"/>
          </w:tcPr>
          <w:p w14:paraId="2946604C" w14:textId="77777777" w:rsidR="00EF0589" w:rsidRPr="00FB168D" w:rsidRDefault="00EF0589" w:rsidP="00EF0589">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Partenaire Institutionnel</w:t>
            </w:r>
          </w:p>
        </w:tc>
        <w:tc>
          <w:tcPr>
            <w:tcW w:w="3961" w:type="pct"/>
            <w:shd w:val="clear" w:color="auto" w:fill="FFFFFF" w:themeFill="background1"/>
          </w:tcPr>
          <w:p w14:paraId="0BE912AA" w14:textId="108A153B" w:rsidR="00EF0589" w:rsidRPr="00FB168D" w:rsidRDefault="00EF0589" w:rsidP="00EF0589">
            <w:pPr>
              <w:suppressAutoHyphens/>
              <w:spacing w:after="160" w:line="259" w:lineRule="auto"/>
              <w:rPr>
                <w:rFonts w:eastAsia="Verdana" w:cstheme="minorHAnsi"/>
                <w:bCs/>
                <w:sz w:val="22"/>
                <w:szCs w:val="22"/>
                <w:lang w:eastAsia="zh-CN" w:bidi="hi-IN"/>
              </w:rPr>
            </w:pPr>
            <w:r w:rsidRPr="00FB168D">
              <w:rPr>
                <w:rFonts w:eastAsia="Verdana" w:cstheme="minorHAnsi"/>
                <w:bCs/>
                <w:sz w:val="22"/>
                <w:szCs w:val="22"/>
                <w:lang w:eastAsia="zh-CN" w:bidi="hi-IN"/>
              </w:rPr>
              <w:t>Direction Régionale de la Promotion de la femme et de la Famille (DRPFEF)</w:t>
            </w:r>
            <w:r>
              <w:rPr>
                <w:rFonts w:eastAsia="Verdana" w:cstheme="minorHAnsi"/>
                <w:bCs/>
                <w:sz w:val="22"/>
                <w:szCs w:val="22"/>
                <w:lang w:eastAsia="zh-CN" w:bidi="hi-IN"/>
              </w:rPr>
              <w:t xml:space="preserve"> du District de Bamako </w:t>
            </w:r>
          </w:p>
        </w:tc>
      </w:tr>
      <w:tr w:rsidR="00EF0589" w:rsidRPr="00FB168D" w14:paraId="19E57974" w14:textId="77777777" w:rsidTr="005F0AE7">
        <w:tc>
          <w:tcPr>
            <w:tcW w:w="1039" w:type="pct"/>
          </w:tcPr>
          <w:p w14:paraId="7ACC02E8" w14:textId="77777777" w:rsidR="00EF0589" w:rsidRPr="00FB168D" w:rsidRDefault="00EF0589" w:rsidP="00EF0589">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lastRenderedPageBreak/>
              <w:t>Partenaires de mise en œuvre</w:t>
            </w:r>
          </w:p>
        </w:tc>
        <w:tc>
          <w:tcPr>
            <w:tcW w:w="3961" w:type="pct"/>
          </w:tcPr>
          <w:p w14:paraId="7F9889A5" w14:textId="54F140D7" w:rsidR="00EF0589" w:rsidRPr="00FB168D" w:rsidRDefault="00EF0589" w:rsidP="00EF0589">
            <w:pPr>
              <w:suppressAutoHyphens/>
              <w:rPr>
                <w:rFonts w:eastAsia="NSimSun" w:cstheme="minorHAnsi"/>
                <w:bCs/>
                <w:sz w:val="22"/>
                <w:szCs w:val="22"/>
                <w:lang w:eastAsia="zh-CN" w:bidi="hi-IN"/>
              </w:rPr>
            </w:pPr>
            <w:r w:rsidRPr="00FB168D">
              <w:rPr>
                <w:rFonts w:eastAsia="NSimSun" w:cstheme="minorHAnsi"/>
                <w:bCs/>
                <w:sz w:val="22"/>
                <w:szCs w:val="22"/>
                <w:lang w:eastAsia="zh-CN" w:bidi="hi-IN"/>
              </w:rPr>
              <w:t>Maison de la Femme Rive Droite</w:t>
            </w:r>
          </w:p>
        </w:tc>
      </w:tr>
      <w:tr w:rsidR="00EF0589" w:rsidRPr="00FB168D" w14:paraId="389FB09C" w14:textId="77777777" w:rsidTr="005F0AE7">
        <w:tc>
          <w:tcPr>
            <w:tcW w:w="1039" w:type="pct"/>
          </w:tcPr>
          <w:p w14:paraId="13710A05" w14:textId="77777777" w:rsidR="00EF0589" w:rsidRPr="00FB168D" w:rsidRDefault="00EF0589" w:rsidP="00EF0589">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 xml:space="preserve">Approches de mise en œuvre </w:t>
            </w:r>
          </w:p>
        </w:tc>
        <w:tc>
          <w:tcPr>
            <w:tcW w:w="3961" w:type="pct"/>
          </w:tcPr>
          <w:p w14:paraId="729A221A" w14:textId="77777777" w:rsidR="00EF0589" w:rsidRPr="00FB168D" w:rsidRDefault="00EF0589" w:rsidP="00EF0589">
            <w:pPr>
              <w:pStyle w:val="ListParagraph"/>
              <w:numPr>
                <w:ilvl w:val="0"/>
                <w:numId w:val="11"/>
              </w:numPr>
              <w:tabs>
                <w:tab w:val="clear" w:pos="794"/>
              </w:tabs>
              <w:suppressAutoHyphens/>
              <w:spacing w:line="240" w:lineRule="auto"/>
              <w:ind w:left="327"/>
              <w:contextualSpacing/>
              <w:rPr>
                <w:rFonts w:asciiTheme="minorHAnsi" w:eastAsia="NSimSun" w:hAnsiTheme="minorHAnsi" w:cstheme="minorHAnsi"/>
                <w:bCs/>
                <w:sz w:val="22"/>
                <w:szCs w:val="22"/>
                <w:lang w:eastAsia="zh-CN" w:bidi="hi-IN"/>
              </w:rPr>
            </w:pPr>
            <w:r w:rsidRPr="00FB168D">
              <w:rPr>
                <w:rFonts w:asciiTheme="minorHAnsi" w:eastAsia="NSimSun" w:hAnsiTheme="minorHAnsi" w:cstheme="minorHAnsi"/>
                <w:bCs/>
                <w:sz w:val="22"/>
                <w:szCs w:val="22"/>
                <w:lang w:eastAsia="zh-CN" w:bidi="hi-IN"/>
              </w:rPr>
              <w:t>Approche centrée sur le comportement à l’utilisation, contrairement aux projets précédents axés sur la technologie</w:t>
            </w:r>
          </w:p>
          <w:p w14:paraId="1E1B39CE" w14:textId="77777777" w:rsidR="00EF0589" w:rsidRPr="00FB168D" w:rsidRDefault="00EF0589" w:rsidP="00EF0589">
            <w:pPr>
              <w:pStyle w:val="ListParagraph"/>
              <w:numPr>
                <w:ilvl w:val="0"/>
                <w:numId w:val="11"/>
              </w:numPr>
              <w:tabs>
                <w:tab w:val="clear" w:pos="794"/>
              </w:tabs>
              <w:suppressAutoHyphens/>
              <w:spacing w:line="240" w:lineRule="auto"/>
              <w:ind w:left="327"/>
              <w:contextualSpacing/>
              <w:rPr>
                <w:rFonts w:asciiTheme="minorHAnsi" w:eastAsia="NSimSun" w:hAnsiTheme="minorHAnsi" w:cstheme="minorHAnsi"/>
                <w:bCs/>
                <w:sz w:val="22"/>
                <w:szCs w:val="22"/>
                <w:lang w:eastAsia="zh-CN" w:bidi="hi-IN"/>
              </w:rPr>
            </w:pPr>
            <w:r w:rsidRPr="00FB168D">
              <w:rPr>
                <w:rFonts w:asciiTheme="minorHAnsi" w:eastAsia="NSimSun" w:hAnsiTheme="minorHAnsi" w:cstheme="minorHAnsi"/>
                <w:bCs/>
                <w:sz w:val="22"/>
                <w:szCs w:val="22"/>
                <w:lang w:eastAsia="zh-CN" w:bidi="hi-IN"/>
              </w:rPr>
              <w:t>Adaptation du modèle rural (SFV) à un contexte urbain ouest-africain (Bamako, 4,2 millions d’habitants)</w:t>
            </w:r>
          </w:p>
          <w:p w14:paraId="15855F24" w14:textId="2D5F5049" w:rsidR="00EF0589" w:rsidRPr="00FB168D" w:rsidRDefault="00EF0589" w:rsidP="00EF0589">
            <w:pPr>
              <w:pStyle w:val="ListParagraph"/>
              <w:numPr>
                <w:ilvl w:val="0"/>
                <w:numId w:val="11"/>
              </w:numPr>
              <w:tabs>
                <w:tab w:val="clear" w:pos="794"/>
              </w:tabs>
              <w:suppressAutoHyphens/>
              <w:spacing w:line="240" w:lineRule="auto"/>
              <w:ind w:left="327"/>
              <w:contextualSpacing/>
              <w:rPr>
                <w:rFonts w:asciiTheme="minorHAnsi" w:eastAsia="NSimSun" w:hAnsiTheme="minorHAnsi" w:cstheme="minorHAnsi"/>
                <w:bCs/>
                <w:sz w:val="22"/>
                <w:szCs w:val="22"/>
                <w:lang w:eastAsia="zh-CN" w:bidi="hi-IN"/>
              </w:rPr>
            </w:pPr>
            <w:r w:rsidRPr="00FB168D">
              <w:rPr>
                <w:rFonts w:asciiTheme="minorHAnsi" w:eastAsia="NSimSun" w:hAnsiTheme="minorHAnsi" w:cstheme="minorHAnsi"/>
                <w:bCs/>
                <w:sz w:val="22"/>
                <w:szCs w:val="22"/>
                <w:lang w:eastAsia="zh-CN" w:bidi="hi-IN"/>
              </w:rPr>
              <w:t>Approche par les « Pairs » avec l’implication des jeunes coachs verts « Green Coachs » et des réseaux féminins pour un impact durable.</w:t>
            </w:r>
          </w:p>
        </w:tc>
      </w:tr>
    </w:tbl>
    <w:p w14:paraId="614723EA" w14:textId="77777777" w:rsidR="00613F09" w:rsidRPr="00FB168D" w:rsidRDefault="00613F09" w:rsidP="00613F09">
      <w:pPr>
        <w:suppressAutoHyphens/>
        <w:rPr>
          <w:rFonts w:eastAsia="Verdana" w:cstheme="minorHAnsi"/>
          <w:bCs/>
          <w:color w:val="FF0000"/>
          <w:sz w:val="20"/>
          <w:lang w:eastAsia="zh-CN" w:bidi="hi-IN"/>
        </w:rPr>
      </w:pPr>
    </w:p>
    <w:p w14:paraId="634128A1" w14:textId="3935327A" w:rsidR="00E319D6" w:rsidRPr="00FB168D" w:rsidRDefault="00DE09CA" w:rsidP="009805DD">
      <w:pPr>
        <w:jc w:val="both"/>
        <w:rPr>
          <w:rFonts w:cstheme="minorHAnsi"/>
          <w:b/>
          <w:bCs/>
          <w:sz w:val="24"/>
          <w:szCs w:val="24"/>
        </w:rPr>
      </w:pPr>
      <w:r w:rsidRPr="00FB168D">
        <w:rPr>
          <w:rFonts w:cstheme="minorHAnsi"/>
          <w:b/>
          <w:bCs/>
          <w:sz w:val="24"/>
          <w:szCs w:val="24"/>
        </w:rPr>
        <w:t>2.</w:t>
      </w:r>
      <w:r w:rsidR="00ED45FA" w:rsidRPr="00FB168D">
        <w:rPr>
          <w:rFonts w:cstheme="minorHAnsi"/>
          <w:b/>
          <w:bCs/>
          <w:sz w:val="24"/>
          <w:szCs w:val="24"/>
        </w:rPr>
        <w:t>3</w:t>
      </w:r>
      <w:r w:rsidRPr="00FB168D">
        <w:rPr>
          <w:rFonts w:cstheme="minorHAnsi"/>
          <w:b/>
          <w:bCs/>
          <w:sz w:val="24"/>
          <w:szCs w:val="24"/>
        </w:rPr>
        <w:t xml:space="preserve">. </w:t>
      </w:r>
      <w:r w:rsidR="00D166E8" w:rsidRPr="00FB168D">
        <w:rPr>
          <w:rFonts w:cstheme="minorHAnsi"/>
          <w:b/>
          <w:bCs/>
          <w:sz w:val="24"/>
          <w:szCs w:val="24"/>
        </w:rPr>
        <w:t xml:space="preserve">Objectifs </w:t>
      </w:r>
      <w:r w:rsidR="009805DD" w:rsidRPr="00FB168D">
        <w:rPr>
          <w:rFonts w:cstheme="minorHAnsi"/>
          <w:b/>
          <w:bCs/>
          <w:sz w:val="24"/>
          <w:szCs w:val="24"/>
        </w:rPr>
        <w:t xml:space="preserve">de l’étude de base </w:t>
      </w:r>
    </w:p>
    <w:p w14:paraId="2AB2809A" w14:textId="77777777" w:rsidR="009805DD" w:rsidRPr="00FB168D" w:rsidRDefault="009805DD" w:rsidP="009805DD">
      <w:pPr>
        <w:jc w:val="both"/>
        <w:rPr>
          <w:rFonts w:cstheme="minorHAnsi"/>
          <w:sz w:val="22"/>
          <w:szCs w:val="22"/>
        </w:rPr>
      </w:pPr>
    </w:p>
    <w:p w14:paraId="304336CC" w14:textId="77777777" w:rsidR="00990548" w:rsidRPr="00FB168D" w:rsidRDefault="00990548" w:rsidP="00990548">
      <w:pPr>
        <w:suppressAutoHyphens/>
        <w:spacing w:line="240" w:lineRule="auto"/>
        <w:rPr>
          <w:rFonts w:cstheme="minorHAnsi"/>
          <w:b/>
          <w:bCs/>
          <w:noProof/>
          <w:sz w:val="22"/>
          <w:szCs w:val="22"/>
        </w:rPr>
      </w:pPr>
      <w:r w:rsidRPr="00FB168D">
        <w:rPr>
          <w:rFonts w:cstheme="minorHAnsi"/>
          <w:b/>
          <w:bCs/>
          <w:noProof/>
          <w:sz w:val="22"/>
          <w:szCs w:val="22"/>
        </w:rPr>
        <w:t>Objectif général :</w:t>
      </w:r>
    </w:p>
    <w:p w14:paraId="1D99F3FF" w14:textId="77777777" w:rsidR="00990548" w:rsidRPr="00FB168D" w:rsidRDefault="00990548" w:rsidP="00990548">
      <w:pPr>
        <w:suppressAutoHyphens/>
        <w:spacing w:line="240" w:lineRule="auto"/>
        <w:rPr>
          <w:rFonts w:cstheme="minorHAnsi"/>
          <w:noProof/>
          <w:sz w:val="22"/>
          <w:szCs w:val="22"/>
        </w:rPr>
      </w:pPr>
    </w:p>
    <w:p w14:paraId="363246D8" w14:textId="14A6B052" w:rsidR="00990548" w:rsidRPr="00FB168D" w:rsidRDefault="00990548" w:rsidP="00990548">
      <w:pPr>
        <w:suppressAutoHyphens/>
        <w:spacing w:line="240" w:lineRule="auto"/>
        <w:rPr>
          <w:rFonts w:cstheme="minorHAnsi"/>
          <w:noProof/>
          <w:sz w:val="22"/>
          <w:szCs w:val="22"/>
        </w:rPr>
      </w:pPr>
      <w:r w:rsidRPr="00FB168D">
        <w:rPr>
          <w:rFonts w:cstheme="minorHAnsi"/>
          <w:noProof/>
          <w:sz w:val="22"/>
          <w:szCs w:val="22"/>
        </w:rPr>
        <w:t xml:space="preserve">Réaliser une étude de base (baseline) et une analyse contextuelle approfondie pour informer </w:t>
      </w:r>
      <w:r w:rsidR="00CC0A92" w:rsidRPr="00FB168D">
        <w:rPr>
          <w:rFonts w:cstheme="minorHAnsi"/>
          <w:noProof/>
          <w:sz w:val="22"/>
          <w:szCs w:val="22"/>
        </w:rPr>
        <w:t>le</w:t>
      </w:r>
      <w:r w:rsidRPr="00FB168D">
        <w:rPr>
          <w:rFonts w:cstheme="minorHAnsi"/>
          <w:noProof/>
          <w:sz w:val="22"/>
          <w:szCs w:val="22"/>
        </w:rPr>
        <w:t xml:space="preserve"> démarrage et la mise en œuvre efficace des activités de changement de comportement du projet "Smoke Free Zone" à Bamako.</w:t>
      </w:r>
    </w:p>
    <w:p w14:paraId="41D491B4" w14:textId="77777777" w:rsidR="00990548" w:rsidRPr="00FB168D" w:rsidRDefault="00990548" w:rsidP="00990548">
      <w:pPr>
        <w:suppressAutoHyphens/>
        <w:spacing w:line="240" w:lineRule="auto"/>
        <w:ind w:left="227"/>
        <w:rPr>
          <w:rFonts w:cstheme="minorHAnsi"/>
          <w:noProof/>
          <w:sz w:val="22"/>
          <w:szCs w:val="22"/>
        </w:rPr>
      </w:pPr>
    </w:p>
    <w:p w14:paraId="12E679F0" w14:textId="77777777" w:rsidR="00990548" w:rsidRDefault="00990548" w:rsidP="00990548">
      <w:pPr>
        <w:suppressAutoHyphens/>
        <w:spacing w:line="240" w:lineRule="auto"/>
        <w:rPr>
          <w:rFonts w:cstheme="minorHAnsi"/>
          <w:b/>
          <w:bCs/>
          <w:noProof/>
          <w:sz w:val="22"/>
          <w:szCs w:val="22"/>
        </w:rPr>
      </w:pPr>
      <w:r w:rsidRPr="00FB168D">
        <w:rPr>
          <w:rFonts w:cstheme="minorHAnsi"/>
          <w:b/>
          <w:bCs/>
          <w:noProof/>
          <w:sz w:val="22"/>
          <w:szCs w:val="22"/>
        </w:rPr>
        <w:t>Objectifs spécifiques :</w:t>
      </w:r>
    </w:p>
    <w:p w14:paraId="00EEF08C" w14:textId="77777777" w:rsidR="002831B3" w:rsidRPr="00FB168D" w:rsidRDefault="002831B3" w:rsidP="00990548">
      <w:pPr>
        <w:suppressAutoHyphens/>
        <w:spacing w:line="240" w:lineRule="auto"/>
        <w:rPr>
          <w:rFonts w:cstheme="minorHAnsi"/>
          <w:b/>
          <w:bCs/>
          <w:noProof/>
          <w:sz w:val="22"/>
          <w:szCs w:val="22"/>
        </w:rPr>
      </w:pPr>
    </w:p>
    <w:p w14:paraId="2EE0B3F8" w14:textId="617AF4AF" w:rsidR="00990548" w:rsidRPr="00FB168D" w:rsidRDefault="00990548" w:rsidP="001D7A9A">
      <w:pPr>
        <w:numPr>
          <w:ilvl w:val="0"/>
          <w:numId w:val="13"/>
        </w:numPr>
        <w:suppressAutoHyphens/>
        <w:spacing w:line="240" w:lineRule="auto"/>
        <w:jc w:val="both"/>
        <w:rPr>
          <w:rFonts w:cstheme="minorHAnsi"/>
          <w:noProof/>
          <w:sz w:val="22"/>
          <w:szCs w:val="22"/>
        </w:rPr>
      </w:pPr>
      <w:r w:rsidRPr="00FB168D">
        <w:rPr>
          <w:rFonts w:cstheme="minorHAnsi"/>
          <w:noProof/>
          <w:sz w:val="22"/>
          <w:szCs w:val="22"/>
        </w:rPr>
        <w:t>Identifier les pratiques actuelles de cuisson des ménages dans la zone d’intervention</w:t>
      </w:r>
      <w:r w:rsidR="00D3763D">
        <w:rPr>
          <w:rFonts w:cstheme="minorHAnsi"/>
          <w:noProof/>
          <w:sz w:val="22"/>
          <w:szCs w:val="22"/>
        </w:rPr>
        <w:t> </w:t>
      </w:r>
      <w:r w:rsidR="00625AA1">
        <w:rPr>
          <w:rFonts w:cstheme="minorHAnsi"/>
          <w:noProof/>
          <w:sz w:val="22"/>
          <w:szCs w:val="22"/>
        </w:rPr>
        <w:t>(Commune 5 de Bamako)</w:t>
      </w:r>
      <w:r w:rsidR="00D3763D">
        <w:rPr>
          <w:rFonts w:cstheme="minorHAnsi"/>
          <w:noProof/>
          <w:sz w:val="22"/>
          <w:szCs w:val="22"/>
        </w:rPr>
        <w:t>;</w:t>
      </w:r>
    </w:p>
    <w:p w14:paraId="7D650B61" w14:textId="7E9DC8FF" w:rsidR="00990548" w:rsidRPr="00FB168D" w:rsidRDefault="00990548" w:rsidP="001D7A9A">
      <w:pPr>
        <w:numPr>
          <w:ilvl w:val="0"/>
          <w:numId w:val="13"/>
        </w:numPr>
        <w:suppressAutoHyphens/>
        <w:spacing w:line="240" w:lineRule="auto"/>
        <w:jc w:val="both"/>
        <w:rPr>
          <w:rFonts w:cstheme="minorHAnsi"/>
          <w:noProof/>
          <w:sz w:val="22"/>
          <w:szCs w:val="22"/>
        </w:rPr>
      </w:pPr>
      <w:r w:rsidRPr="00FB168D">
        <w:rPr>
          <w:rFonts w:cstheme="minorHAnsi"/>
          <w:noProof/>
          <w:sz w:val="22"/>
          <w:szCs w:val="22"/>
        </w:rPr>
        <w:t>Appr</w:t>
      </w:r>
      <w:r w:rsidR="00F95BB4">
        <w:rPr>
          <w:rFonts w:cstheme="minorHAnsi"/>
          <w:noProof/>
          <w:sz w:val="22"/>
          <w:szCs w:val="22"/>
        </w:rPr>
        <w:t>é</w:t>
      </w:r>
      <w:r w:rsidRPr="00FB168D">
        <w:rPr>
          <w:rFonts w:cstheme="minorHAnsi"/>
          <w:noProof/>
          <w:sz w:val="22"/>
          <w:szCs w:val="22"/>
        </w:rPr>
        <w:t>cier la satisfaction des ménages par rapport à l’utilisation des foyers</w:t>
      </w:r>
      <w:r w:rsidR="00F973F2" w:rsidRPr="00FB168D">
        <w:rPr>
          <w:rFonts w:cstheme="minorHAnsi"/>
          <w:noProof/>
          <w:sz w:val="22"/>
          <w:szCs w:val="22"/>
        </w:rPr>
        <w:t> ;</w:t>
      </w:r>
    </w:p>
    <w:p w14:paraId="287283B9" w14:textId="1AA6A5FD" w:rsidR="00990548" w:rsidRPr="00FB168D" w:rsidRDefault="00990548" w:rsidP="001D7A9A">
      <w:pPr>
        <w:numPr>
          <w:ilvl w:val="0"/>
          <w:numId w:val="13"/>
        </w:numPr>
        <w:suppressAutoHyphens/>
        <w:spacing w:line="240" w:lineRule="auto"/>
        <w:jc w:val="both"/>
        <w:rPr>
          <w:rFonts w:cstheme="minorHAnsi"/>
          <w:noProof/>
          <w:sz w:val="22"/>
          <w:szCs w:val="22"/>
        </w:rPr>
      </w:pPr>
      <w:r w:rsidRPr="00FB168D">
        <w:rPr>
          <w:rFonts w:cstheme="minorHAnsi"/>
          <w:noProof/>
          <w:sz w:val="22"/>
          <w:szCs w:val="22"/>
        </w:rPr>
        <w:t>Analyser les connaissances, perceptions, attitudes et comportements des ménages vis-à-vis des technologies de cuisson propre ( GPL, foyer à éthanol, solaire, électrique…)</w:t>
      </w:r>
      <w:r w:rsidR="00F973F2" w:rsidRPr="00FB168D">
        <w:rPr>
          <w:rFonts w:cstheme="minorHAnsi"/>
          <w:noProof/>
          <w:sz w:val="22"/>
          <w:szCs w:val="22"/>
        </w:rPr>
        <w:t> ;</w:t>
      </w:r>
    </w:p>
    <w:p w14:paraId="4C3410DF" w14:textId="0882D469" w:rsidR="00990548" w:rsidRPr="00FB168D" w:rsidRDefault="00990548" w:rsidP="001D7A9A">
      <w:pPr>
        <w:numPr>
          <w:ilvl w:val="0"/>
          <w:numId w:val="13"/>
        </w:numPr>
        <w:suppressAutoHyphens/>
        <w:spacing w:line="240" w:lineRule="auto"/>
        <w:jc w:val="both"/>
        <w:rPr>
          <w:rFonts w:cstheme="minorHAnsi"/>
          <w:noProof/>
          <w:sz w:val="22"/>
          <w:szCs w:val="22"/>
        </w:rPr>
      </w:pPr>
      <w:r w:rsidRPr="00FB168D">
        <w:rPr>
          <w:rFonts w:cstheme="minorHAnsi"/>
          <w:noProof/>
          <w:sz w:val="22"/>
          <w:szCs w:val="22"/>
        </w:rPr>
        <w:t>Identifier les principales barrières (économiques, sociaux, culturels, infrastructurels) à l’adoption des solutions de cuisson propre</w:t>
      </w:r>
      <w:r w:rsidR="00F973F2" w:rsidRPr="00FB168D">
        <w:rPr>
          <w:rFonts w:cstheme="minorHAnsi"/>
          <w:noProof/>
          <w:sz w:val="22"/>
          <w:szCs w:val="22"/>
        </w:rPr>
        <w:t> ;</w:t>
      </w:r>
    </w:p>
    <w:p w14:paraId="04780B7D" w14:textId="34B456FB" w:rsidR="00990548" w:rsidRPr="00FB168D" w:rsidRDefault="00990548" w:rsidP="001D7A9A">
      <w:pPr>
        <w:numPr>
          <w:ilvl w:val="0"/>
          <w:numId w:val="13"/>
        </w:numPr>
        <w:suppressAutoHyphens/>
        <w:spacing w:line="240" w:lineRule="auto"/>
        <w:jc w:val="both"/>
        <w:rPr>
          <w:rFonts w:cstheme="minorHAnsi"/>
          <w:noProof/>
          <w:sz w:val="22"/>
          <w:szCs w:val="22"/>
        </w:rPr>
      </w:pPr>
      <w:r w:rsidRPr="00FB168D">
        <w:rPr>
          <w:rFonts w:cstheme="minorHAnsi"/>
          <w:noProof/>
          <w:sz w:val="22"/>
          <w:szCs w:val="22"/>
        </w:rPr>
        <w:t>Établir les valeurs de base des indicateurs (adoption des foyers propres, consommation de combustibles, dépenses, temps, exposition à la fumée/bénéfice sanitaire, facilité d’utilisation etc.)</w:t>
      </w:r>
      <w:r w:rsidR="00F973F2" w:rsidRPr="00FB168D">
        <w:rPr>
          <w:rFonts w:cstheme="minorHAnsi"/>
          <w:noProof/>
          <w:sz w:val="22"/>
          <w:szCs w:val="22"/>
        </w:rPr>
        <w:t> ;</w:t>
      </w:r>
    </w:p>
    <w:p w14:paraId="0C5D7109" w14:textId="3213DD28" w:rsidR="00990548" w:rsidRPr="00FB168D" w:rsidRDefault="00990548" w:rsidP="001D7A9A">
      <w:pPr>
        <w:numPr>
          <w:ilvl w:val="0"/>
          <w:numId w:val="13"/>
        </w:numPr>
        <w:suppressAutoHyphens/>
        <w:spacing w:line="240" w:lineRule="auto"/>
        <w:jc w:val="both"/>
        <w:rPr>
          <w:rFonts w:cstheme="minorHAnsi"/>
          <w:noProof/>
          <w:sz w:val="22"/>
          <w:szCs w:val="22"/>
        </w:rPr>
      </w:pPr>
      <w:r w:rsidRPr="00FB168D">
        <w:rPr>
          <w:rFonts w:cstheme="minorHAnsi"/>
          <w:noProof/>
          <w:sz w:val="22"/>
          <w:szCs w:val="22"/>
        </w:rPr>
        <w:t>Identifier les facteurs</w:t>
      </w:r>
      <w:r w:rsidR="001B2811">
        <w:rPr>
          <w:rFonts w:cstheme="minorHAnsi"/>
          <w:noProof/>
          <w:sz w:val="22"/>
          <w:szCs w:val="22"/>
        </w:rPr>
        <w:t xml:space="preserve"> / </w:t>
      </w:r>
      <w:r w:rsidR="001B2811" w:rsidRPr="00FB168D">
        <w:rPr>
          <w:rFonts w:cstheme="minorHAnsi"/>
          <w:noProof/>
          <w:sz w:val="22"/>
          <w:szCs w:val="22"/>
        </w:rPr>
        <w:t xml:space="preserve">leviers </w:t>
      </w:r>
      <w:r w:rsidRPr="00FB168D">
        <w:rPr>
          <w:rFonts w:cstheme="minorHAnsi"/>
          <w:noProof/>
          <w:sz w:val="22"/>
          <w:szCs w:val="22"/>
        </w:rPr>
        <w:t>qui peuvent influencer la prise de décision en faveur de comportements de cuisson propres et de l'utilisation des options de cuisson propres existants</w:t>
      </w:r>
      <w:r w:rsidR="00F973F2" w:rsidRPr="00FB168D">
        <w:rPr>
          <w:rFonts w:cstheme="minorHAnsi"/>
          <w:noProof/>
          <w:sz w:val="22"/>
          <w:szCs w:val="22"/>
        </w:rPr>
        <w:t> ;</w:t>
      </w:r>
    </w:p>
    <w:p w14:paraId="77C629B4" w14:textId="3230D411" w:rsidR="00990548" w:rsidRPr="00FB168D" w:rsidRDefault="00990548" w:rsidP="001D7A9A">
      <w:pPr>
        <w:numPr>
          <w:ilvl w:val="0"/>
          <w:numId w:val="13"/>
        </w:numPr>
        <w:suppressAutoHyphens/>
        <w:spacing w:line="240" w:lineRule="auto"/>
        <w:jc w:val="both"/>
        <w:rPr>
          <w:rFonts w:cstheme="minorHAnsi"/>
          <w:noProof/>
          <w:sz w:val="22"/>
          <w:szCs w:val="22"/>
        </w:rPr>
      </w:pPr>
      <w:r w:rsidRPr="00FB168D">
        <w:rPr>
          <w:rFonts w:cstheme="minorHAnsi"/>
          <w:noProof/>
          <w:sz w:val="22"/>
          <w:szCs w:val="22"/>
        </w:rPr>
        <w:t>Fournir des recommandations pour la conception des outils sur la communication pour le changement et la stratégie de c</w:t>
      </w:r>
      <w:r w:rsidR="00F95BB4">
        <w:rPr>
          <w:rFonts w:cstheme="minorHAnsi"/>
          <w:noProof/>
          <w:sz w:val="22"/>
          <w:szCs w:val="22"/>
        </w:rPr>
        <w:t>i</w:t>
      </w:r>
      <w:r w:rsidRPr="00FB168D">
        <w:rPr>
          <w:rFonts w:cstheme="minorHAnsi"/>
          <w:noProof/>
          <w:sz w:val="22"/>
          <w:szCs w:val="22"/>
        </w:rPr>
        <w:t>blage</w:t>
      </w:r>
      <w:r w:rsidR="00F973F2" w:rsidRPr="00FB168D">
        <w:rPr>
          <w:rFonts w:cstheme="minorHAnsi"/>
          <w:noProof/>
          <w:sz w:val="22"/>
          <w:szCs w:val="22"/>
        </w:rPr>
        <w:t> ;</w:t>
      </w:r>
      <w:r w:rsidRPr="00FB168D">
        <w:rPr>
          <w:rFonts w:cstheme="minorHAnsi"/>
          <w:noProof/>
          <w:sz w:val="22"/>
          <w:szCs w:val="22"/>
        </w:rPr>
        <w:t xml:space="preserve"> </w:t>
      </w:r>
    </w:p>
    <w:p w14:paraId="6994AF08" w14:textId="54BA7684" w:rsidR="009805DD" w:rsidRPr="00FB168D" w:rsidRDefault="00990548" w:rsidP="001D7A9A">
      <w:pPr>
        <w:numPr>
          <w:ilvl w:val="0"/>
          <w:numId w:val="13"/>
        </w:numPr>
        <w:suppressAutoHyphens/>
        <w:spacing w:line="240" w:lineRule="auto"/>
        <w:jc w:val="both"/>
        <w:rPr>
          <w:rFonts w:cstheme="minorHAnsi"/>
          <w:sz w:val="22"/>
          <w:szCs w:val="22"/>
        </w:rPr>
      </w:pPr>
      <w:r w:rsidRPr="00FB168D">
        <w:rPr>
          <w:rFonts w:cstheme="minorHAnsi"/>
          <w:noProof/>
          <w:sz w:val="22"/>
          <w:szCs w:val="22"/>
        </w:rPr>
        <w:t>Proposer un cadre de suivi des indicateurs clés pour l’évaluation des résultats du projet.</w:t>
      </w:r>
    </w:p>
    <w:p w14:paraId="55C095BC" w14:textId="6E7E4EDD" w:rsidR="00E319D6" w:rsidRPr="00FB168D" w:rsidRDefault="00F63E6D" w:rsidP="003628BB">
      <w:pPr>
        <w:pStyle w:val="Heading1"/>
        <w:ind w:left="567" w:hanging="567"/>
        <w:rPr>
          <w:rFonts w:asciiTheme="minorHAnsi" w:hAnsiTheme="minorHAnsi" w:cstheme="minorHAnsi"/>
        </w:rPr>
      </w:pPr>
      <w:r w:rsidRPr="00FB168D">
        <w:rPr>
          <w:rFonts w:asciiTheme="minorHAnsi" w:hAnsiTheme="minorHAnsi" w:cstheme="minorHAnsi"/>
        </w:rPr>
        <w:t>Mandat de l’équipe de consultants et l</w:t>
      </w:r>
      <w:r w:rsidR="007B23F1" w:rsidRPr="00FB168D">
        <w:rPr>
          <w:rFonts w:asciiTheme="minorHAnsi" w:hAnsiTheme="minorHAnsi" w:cstheme="minorHAnsi"/>
        </w:rPr>
        <w:t>ivrables</w:t>
      </w:r>
    </w:p>
    <w:p w14:paraId="463C9EB3" w14:textId="699B7DB2" w:rsidR="00F63E6D" w:rsidRPr="00FB168D" w:rsidRDefault="00E67233" w:rsidP="003A1E28">
      <w:pPr>
        <w:pStyle w:val="Listbullets"/>
        <w:numPr>
          <w:ilvl w:val="0"/>
          <w:numId w:val="0"/>
        </w:numPr>
        <w:spacing w:line="276" w:lineRule="auto"/>
        <w:ind w:left="397" w:hanging="397"/>
        <w:jc w:val="both"/>
        <w:rPr>
          <w:rFonts w:cstheme="minorHAnsi"/>
          <w:b/>
          <w:bCs/>
          <w:sz w:val="24"/>
          <w:szCs w:val="24"/>
        </w:rPr>
      </w:pPr>
      <w:r w:rsidRPr="00FB168D">
        <w:rPr>
          <w:rFonts w:cstheme="minorHAnsi"/>
          <w:b/>
          <w:bCs/>
          <w:sz w:val="24"/>
          <w:szCs w:val="24"/>
        </w:rPr>
        <w:t xml:space="preserve">3.1. </w:t>
      </w:r>
      <w:r w:rsidR="00634B22" w:rsidRPr="00FB168D">
        <w:rPr>
          <w:rFonts w:cstheme="minorHAnsi"/>
          <w:b/>
          <w:bCs/>
          <w:sz w:val="24"/>
          <w:szCs w:val="24"/>
        </w:rPr>
        <w:t>Mandat de l’équipe de consultants</w:t>
      </w:r>
    </w:p>
    <w:p w14:paraId="784BB958" w14:textId="77777777" w:rsidR="00A43372" w:rsidRPr="00FB168D" w:rsidRDefault="00A43372" w:rsidP="00A43372">
      <w:pPr>
        <w:pStyle w:val="Listbullets"/>
        <w:numPr>
          <w:ilvl w:val="0"/>
          <w:numId w:val="0"/>
        </w:numPr>
        <w:spacing w:line="276" w:lineRule="auto"/>
        <w:jc w:val="both"/>
        <w:rPr>
          <w:rFonts w:cstheme="minorHAnsi"/>
          <w:sz w:val="22"/>
          <w:szCs w:val="22"/>
        </w:rPr>
      </w:pPr>
    </w:p>
    <w:p w14:paraId="772B1DB3" w14:textId="24228D69" w:rsidR="006907E0" w:rsidRPr="00FB168D" w:rsidRDefault="00A43372" w:rsidP="00A43372">
      <w:pPr>
        <w:pStyle w:val="Listbullets"/>
        <w:numPr>
          <w:ilvl w:val="0"/>
          <w:numId w:val="0"/>
        </w:numPr>
        <w:spacing w:line="276" w:lineRule="auto"/>
        <w:jc w:val="both"/>
        <w:rPr>
          <w:rFonts w:cstheme="minorHAnsi"/>
          <w:sz w:val="22"/>
          <w:szCs w:val="22"/>
        </w:rPr>
      </w:pPr>
      <w:r w:rsidRPr="00FB168D">
        <w:rPr>
          <w:rFonts w:cstheme="minorHAnsi"/>
          <w:sz w:val="22"/>
          <w:szCs w:val="22"/>
        </w:rPr>
        <w:t xml:space="preserve">L’équipe de consultants qui sera sélectionnée s’engage à mobiliser </w:t>
      </w:r>
      <w:r w:rsidR="006907E0" w:rsidRPr="00FB168D">
        <w:rPr>
          <w:rFonts w:cstheme="minorHAnsi"/>
          <w:sz w:val="22"/>
          <w:szCs w:val="22"/>
        </w:rPr>
        <w:t xml:space="preserve">au moins </w:t>
      </w:r>
      <w:r w:rsidRPr="00FB168D">
        <w:rPr>
          <w:rFonts w:cstheme="minorHAnsi"/>
          <w:sz w:val="22"/>
          <w:szCs w:val="22"/>
        </w:rPr>
        <w:t>02 experts (01 chef de mission</w:t>
      </w:r>
      <w:r w:rsidR="0015350C" w:rsidRPr="00FB168D">
        <w:rPr>
          <w:rFonts w:cstheme="minorHAnsi"/>
          <w:sz w:val="22"/>
          <w:szCs w:val="22"/>
        </w:rPr>
        <w:t>, spécialiste en conduite d’étude et d’évaluations</w:t>
      </w:r>
      <w:r w:rsidRPr="00FB168D">
        <w:rPr>
          <w:rFonts w:cstheme="minorHAnsi"/>
          <w:sz w:val="22"/>
          <w:szCs w:val="22"/>
        </w:rPr>
        <w:t xml:space="preserve"> et 01 spécialiste </w:t>
      </w:r>
      <w:r w:rsidR="0015350C" w:rsidRPr="00FB168D">
        <w:rPr>
          <w:rFonts w:cstheme="minorHAnsi"/>
          <w:sz w:val="22"/>
          <w:szCs w:val="22"/>
        </w:rPr>
        <w:t xml:space="preserve">en </w:t>
      </w:r>
      <w:r w:rsidR="009A091D">
        <w:rPr>
          <w:rFonts w:cstheme="minorHAnsi"/>
          <w:sz w:val="22"/>
          <w:szCs w:val="22"/>
        </w:rPr>
        <w:t xml:space="preserve">communication pour le </w:t>
      </w:r>
      <w:r w:rsidR="0015350C" w:rsidRPr="00FB168D">
        <w:rPr>
          <w:rFonts w:cstheme="minorHAnsi"/>
          <w:sz w:val="22"/>
          <w:szCs w:val="22"/>
        </w:rPr>
        <w:t>changement de comportement)</w:t>
      </w:r>
      <w:r w:rsidR="006907E0" w:rsidRPr="00FB168D">
        <w:rPr>
          <w:rFonts w:cstheme="minorHAnsi"/>
          <w:sz w:val="22"/>
          <w:szCs w:val="22"/>
        </w:rPr>
        <w:t xml:space="preserve"> </w:t>
      </w:r>
      <w:r w:rsidRPr="00FB168D">
        <w:rPr>
          <w:rFonts w:cstheme="minorHAnsi"/>
          <w:sz w:val="22"/>
          <w:szCs w:val="22"/>
        </w:rPr>
        <w:t xml:space="preserve">qui travailleront en étroite collaboration pour exécuter l’ensemble </w:t>
      </w:r>
      <w:r w:rsidRPr="00FB168D">
        <w:rPr>
          <w:rFonts w:cstheme="minorHAnsi"/>
          <w:sz w:val="22"/>
          <w:szCs w:val="22"/>
        </w:rPr>
        <w:lastRenderedPageBreak/>
        <w:t xml:space="preserve">des prestations conformément aux présents termes de référence et dans le respect des normes et éthiques professionnelles établies. </w:t>
      </w:r>
    </w:p>
    <w:p w14:paraId="71FD06C2" w14:textId="77777777" w:rsidR="00C01EC6" w:rsidRPr="00FB168D" w:rsidRDefault="00C01EC6" w:rsidP="00A43372">
      <w:pPr>
        <w:pStyle w:val="Listbullets"/>
        <w:numPr>
          <w:ilvl w:val="0"/>
          <w:numId w:val="0"/>
        </w:numPr>
        <w:spacing w:line="276" w:lineRule="auto"/>
        <w:jc w:val="both"/>
        <w:rPr>
          <w:rFonts w:cstheme="minorHAnsi"/>
          <w:sz w:val="22"/>
          <w:szCs w:val="22"/>
        </w:rPr>
      </w:pPr>
    </w:p>
    <w:p w14:paraId="0001572B" w14:textId="2336DD40" w:rsidR="006907E0" w:rsidRPr="00FB168D" w:rsidRDefault="00063D96" w:rsidP="00A43372">
      <w:pPr>
        <w:pStyle w:val="Listbullets"/>
        <w:numPr>
          <w:ilvl w:val="0"/>
          <w:numId w:val="0"/>
        </w:numPr>
        <w:spacing w:line="276" w:lineRule="auto"/>
        <w:jc w:val="both"/>
        <w:rPr>
          <w:rFonts w:cstheme="minorHAnsi"/>
          <w:sz w:val="22"/>
          <w:szCs w:val="22"/>
        </w:rPr>
      </w:pPr>
      <w:r w:rsidRPr="00FB168D">
        <w:rPr>
          <w:rFonts w:cstheme="minorHAnsi"/>
          <w:sz w:val="22"/>
          <w:szCs w:val="22"/>
        </w:rPr>
        <w:t>Dans la réalisation de l’étude de base, l</w:t>
      </w:r>
      <w:r w:rsidR="006907E0" w:rsidRPr="00FB168D">
        <w:rPr>
          <w:rFonts w:cstheme="minorHAnsi"/>
          <w:sz w:val="22"/>
          <w:szCs w:val="22"/>
        </w:rPr>
        <w:t xml:space="preserve">’équipe de consultants </w:t>
      </w:r>
      <w:r w:rsidR="00C01EC6" w:rsidRPr="00FB168D">
        <w:rPr>
          <w:rFonts w:cstheme="minorHAnsi"/>
          <w:sz w:val="22"/>
          <w:szCs w:val="22"/>
        </w:rPr>
        <w:t xml:space="preserve">est responsable de : </w:t>
      </w:r>
    </w:p>
    <w:p w14:paraId="1B698F5A" w14:textId="1B3DA997" w:rsidR="00B343C9" w:rsidRPr="00FB168D" w:rsidRDefault="00B32CFC" w:rsidP="001D7A9A">
      <w:pPr>
        <w:pStyle w:val="Listbullets"/>
        <w:numPr>
          <w:ilvl w:val="0"/>
          <w:numId w:val="14"/>
        </w:numPr>
        <w:spacing w:line="276" w:lineRule="auto"/>
        <w:jc w:val="both"/>
        <w:rPr>
          <w:rFonts w:cstheme="minorHAnsi"/>
          <w:sz w:val="22"/>
          <w:szCs w:val="22"/>
        </w:rPr>
      </w:pPr>
      <w:r w:rsidRPr="00FB168D">
        <w:rPr>
          <w:rFonts w:cstheme="minorHAnsi"/>
          <w:sz w:val="22"/>
          <w:szCs w:val="22"/>
        </w:rPr>
        <w:t>Produire</w:t>
      </w:r>
      <w:r w:rsidR="00EF4A8B" w:rsidRPr="00FB168D">
        <w:rPr>
          <w:rFonts w:cstheme="minorHAnsi"/>
          <w:sz w:val="22"/>
          <w:szCs w:val="22"/>
        </w:rPr>
        <w:t xml:space="preserve"> une note de cadrage </w:t>
      </w:r>
      <w:r w:rsidRPr="00FB168D">
        <w:rPr>
          <w:rFonts w:cstheme="minorHAnsi"/>
          <w:sz w:val="22"/>
          <w:szCs w:val="22"/>
        </w:rPr>
        <w:t xml:space="preserve">contenant la </w:t>
      </w:r>
      <w:r w:rsidR="00B343C9" w:rsidRPr="00FB168D">
        <w:rPr>
          <w:rFonts w:cstheme="minorHAnsi"/>
          <w:sz w:val="22"/>
          <w:szCs w:val="22"/>
        </w:rPr>
        <w:t>méthodologie d’étude, les outils de collecte, le plan d’échantillonnage et le calendrier détaillé</w:t>
      </w:r>
      <w:r w:rsidRPr="00FB168D">
        <w:rPr>
          <w:rFonts w:cstheme="minorHAnsi"/>
          <w:sz w:val="22"/>
          <w:szCs w:val="22"/>
        </w:rPr>
        <w:t xml:space="preserve"> de la mission ; </w:t>
      </w:r>
    </w:p>
    <w:p w14:paraId="41EF4B44" w14:textId="33742335" w:rsidR="00EC7F51" w:rsidRPr="00FB168D" w:rsidRDefault="004F4F38" w:rsidP="001D7A9A">
      <w:pPr>
        <w:pStyle w:val="Listbullets"/>
        <w:numPr>
          <w:ilvl w:val="0"/>
          <w:numId w:val="14"/>
        </w:numPr>
        <w:spacing w:line="276" w:lineRule="auto"/>
        <w:jc w:val="both"/>
        <w:rPr>
          <w:rFonts w:cstheme="minorHAnsi"/>
          <w:sz w:val="22"/>
          <w:szCs w:val="22"/>
        </w:rPr>
      </w:pPr>
      <w:r w:rsidRPr="00FB168D">
        <w:rPr>
          <w:rFonts w:cstheme="minorHAnsi"/>
          <w:sz w:val="22"/>
          <w:szCs w:val="22"/>
        </w:rPr>
        <w:t>Préparer et a</w:t>
      </w:r>
      <w:r w:rsidR="00EC7F51" w:rsidRPr="00FB168D">
        <w:rPr>
          <w:rFonts w:cstheme="minorHAnsi"/>
          <w:sz w:val="22"/>
          <w:szCs w:val="22"/>
        </w:rPr>
        <w:t>nim</w:t>
      </w:r>
      <w:r w:rsidRPr="00FB168D">
        <w:rPr>
          <w:rFonts w:cstheme="minorHAnsi"/>
          <w:sz w:val="22"/>
          <w:szCs w:val="22"/>
        </w:rPr>
        <w:t>er la</w:t>
      </w:r>
      <w:r w:rsidR="00EC7F51" w:rsidRPr="00FB168D">
        <w:rPr>
          <w:rFonts w:cstheme="minorHAnsi"/>
          <w:sz w:val="22"/>
          <w:szCs w:val="22"/>
        </w:rPr>
        <w:t xml:space="preserve"> réunion de cadrage</w:t>
      </w:r>
      <w:r w:rsidR="00994869" w:rsidRPr="00FB168D">
        <w:rPr>
          <w:rFonts w:cstheme="minorHAnsi"/>
          <w:sz w:val="22"/>
          <w:szCs w:val="22"/>
        </w:rPr>
        <w:t> ;</w:t>
      </w:r>
    </w:p>
    <w:p w14:paraId="215519A6" w14:textId="33289A9F" w:rsidR="00856081" w:rsidRPr="00FB168D" w:rsidRDefault="00856081" w:rsidP="001D7A9A">
      <w:pPr>
        <w:pStyle w:val="Listbullets"/>
        <w:numPr>
          <w:ilvl w:val="0"/>
          <w:numId w:val="14"/>
        </w:numPr>
        <w:spacing w:line="276" w:lineRule="auto"/>
        <w:jc w:val="both"/>
        <w:rPr>
          <w:rFonts w:cstheme="minorHAnsi"/>
          <w:sz w:val="22"/>
          <w:szCs w:val="22"/>
        </w:rPr>
      </w:pPr>
      <w:r w:rsidRPr="00FB168D">
        <w:rPr>
          <w:rFonts w:cstheme="minorHAnsi"/>
          <w:sz w:val="22"/>
          <w:szCs w:val="22"/>
        </w:rPr>
        <w:t>Faire valider les outils et le canevas de rapportage</w:t>
      </w:r>
      <w:r w:rsidR="00994869" w:rsidRPr="00FB168D">
        <w:rPr>
          <w:rFonts w:cstheme="minorHAnsi"/>
          <w:sz w:val="22"/>
          <w:szCs w:val="22"/>
        </w:rPr>
        <w:t> ;</w:t>
      </w:r>
    </w:p>
    <w:p w14:paraId="3BAD402B" w14:textId="0915FA6B" w:rsidR="00B343C9" w:rsidRPr="00FB168D" w:rsidRDefault="00F259B1" w:rsidP="001D7A9A">
      <w:pPr>
        <w:pStyle w:val="Listbullets"/>
        <w:numPr>
          <w:ilvl w:val="0"/>
          <w:numId w:val="14"/>
        </w:numPr>
        <w:spacing w:line="276" w:lineRule="auto"/>
        <w:jc w:val="both"/>
        <w:rPr>
          <w:rFonts w:cstheme="minorHAnsi"/>
          <w:sz w:val="22"/>
          <w:szCs w:val="22"/>
        </w:rPr>
      </w:pPr>
      <w:r w:rsidRPr="00FB168D">
        <w:rPr>
          <w:rFonts w:cstheme="minorHAnsi"/>
          <w:sz w:val="22"/>
          <w:szCs w:val="22"/>
        </w:rPr>
        <w:t>Organiser la c</w:t>
      </w:r>
      <w:r w:rsidR="00B343C9" w:rsidRPr="00FB168D">
        <w:rPr>
          <w:rFonts w:cstheme="minorHAnsi"/>
          <w:sz w:val="22"/>
          <w:szCs w:val="22"/>
        </w:rPr>
        <w:t>ollecte</w:t>
      </w:r>
      <w:r w:rsidRPr="00FB168D">
        <w:rPr>
          <w:rFonts w:cstheme="minorHAnsi"/>
          <w:sz w:val="22"/>
          <w:szCs w:val="22"/>
        </w:rPr>
        <w:t xml:space="preserve"> </w:t>
      </w:r>
      <w:r w:rsidR="00B343C9" w:rsidRPr="00FB168D">
        <w:rPr>
          <w:rFonts w:cstheme="minorHAnsi"/>
          <w:sz w:val="22"/>
          <w:szCs w:val="22"/>
        </w:rPr>
        <w:t xml:space="preserve">et </w:t>
      </w:r>
      <w:r w:rsidRPr="00FB168D">
        <w:rPr>
          <w:rFonts w:cstheme="minorHAnsi"/>
          <w:sz w:val="22"/>
          <w:szCs w:val="22"/>
        </w:rPr>
        <w:t>l’</w:t>
      </w:r>
      <w:r w:rsidR="00B343C9" w:rsidRPr="00FB168D">
        <w:rPr>
          <w:rFonts w:cstheme="minorHAnsi"/>
          <w:sz w:val="22"/>
          <w:szCs w:val="22"/>
        </w:rPr>
        <w:t xml:space="preserve">analyse des données qualitatives et quantitatives </w:t>
      </w:r>
      <w:r w:rsidR="00215489" w:rsidRPr="00FB168D">
        <w:rPr>
          <w:rFonts w:cstheme="minorHAnsi"/>
          <w:sz w:val="22"/>
          <w:szCs w:val="22"/>
        </w:rPr>
        <w:t xml:space="preserve">auprès d’un échantillon de </w:t>
      </w:r>
      <w:r w:rsidR="002E05DB">
        <w:rPr>
          <w:rFonts w:cstheme="minorHAnsi"/>
          <w:sz w:val="22"/>
          <w:szCs w:val="22"/>
        </w:rPr>
        <w:t>ménage</w:t>
      </w:r>
      <w:r w:rsidR="007C0372">
        <w:rPr>
          <w:rFonts w:cstheme="minorHAnsi"/>
          <w:sz w:val="22"/>
          <w:szCs w:val="22"/>
        </w:rPr>
        <w:t xml:space="preserve">s </w:t>
      </w:r>
      <w:r w:rsidR="00B343C9" w:rsidRPr="00FB168D">
        <w:rPr>
          <w:rFonts w:cstheme="minorHAnsi"/>
          <w:sz w:val="22"/>
          <w:szCs w:val="22"/>
        </w:rPr>
        <w:t>sur les habitudes</w:t>
      </w:r>
      <w:r w:rsidR="00E45B4D" w:rsidRPr="00FB168D">
        <w:rPr>
          <w:rFonts w:cstheme="minorHAnsi"/>
          <w:sz w:val="22"/>
          <w:szCs w:val="22"/>
        </w:rPr>
        <w:t xml:space="preserve">, perceptions </w:t>
      </w:r>
      <w:r w:rsidR="00B343C9" w:rsidRPr="00FB168D">
        <w:rPr>
          <w:rFonts w:cstheme="minorHAnsi"/>
          <w:sz w:val="22"/>
          <w:szCs w:val="22"/>
        </w:rPr>
        <w:t>et pratiques actuelles</w:t>
      </w:r>
      <w:r w:rsidR="00215489" w:rsidRPr="00FB168D">
        <w:rPr>
          <w:rFonts w:cstheme="minorHAnsi"/>
          <w:sz w:val="22"/>
          <w:szCs w:val="22"/>
        </w:rPr>
        <w:t> ;</w:t>
      </w:r>
    </w:p>
    <w:p w14:paraId="31E675A8" w14:textId="6C922106" w:rsidR="00994869" w:rsidRPr="00FB168D" w:rsidRDefault="00994869" w:rsidP="001D7A9A">
      <w:pPr>
        <w:widowControl w:val="0"/>
        <w:numPr>
          <w:ilvl w:val="0"/>
          <w:numId w:val="14"/>
        </w:numPr>
        <w:shd w:val="clear" w:color="auto" w:fill="FFFFFF"/>
        <w:suppressAutoHyphens/>
        <w:spacing w:line="240" w:lineRule="auto"/>
        <w:contextualSpacing/>
        <w:jc w:val="both"/>
        <w:rPr>
          <w:rFonts w:eastAsia="Times New Roman" w:cstheme="minorHAnsi"/>
          <w:sz w:val="24"/>
          <w:szCs w:val="24"/>
          <w:lang w:eastAsia="de-DE"/>
        </w:rPr>
      </w:pPr>
      <w:r w:rsidRPr="00FB168D">
        <w:rPr>
          <w:rFonts w:eastAsia="Times New Roman" w:cstheme="minorHAnsi"/>
          <w:sz w:val="24"/>
          <w:szCs w:val="24"/>
          <w:lang w:eastAsia="de-DE"/>
        </w:rPr>
        <w:t>Rédiger le rapport final et son résumé exécutif prenant en compte les observations et commentaires de SNV ;</w:t>
      </w:r>
    </w:p>
    <w:p w14:paraId="5202BA1B" w14:textId="11CAFA8A" w:rsidR="00B343C9" w:rsidRPr="00FB168D" w:rsidRDefault="00B343C9" w:rsidP="001D7A9A">
      <w:pPr>
        <w:pStyle w:val="Listbullets"/>
        <w:numPr>
          <w:ilvl w:val="0"/>
          <w:numId w:val="14"/>
        </w:numPr>
        <w:spacing w:line="276" w:lineRule="auto"/>
        <w:jc w:val="both"/>
        <w:rPr>
          <w:rFonts w:cstheme="minorHAnsi"/>
          <w:sz w:val="22"/>
          <w:szCs w:val="22"/>
        </w:rPr>
      </w:pPr>
      <w:r w:rsidRPr="00FB168D">
        <w:rPr>
          <w:rFonts w:cstheme="minorHAnsi"/>
          <w:sz w:val="22"/>
          <w:szCs w:val="22"/>
        </w:rPr>
        <w:t>Mettre à jour</w:t>
      </w:r>
      <w:r w:rsidR="00B82D47" w:rsidRPr="00FB168D">
        <w:rPr>
          <w:rFonts w:cstheme="minorHAnsi"/>
          <w:sz w:val="22"/>
          <w:szCs w:val="22"/>
        </w:rPr>
        <w:t xml:space="preserve"> </w:t>
      </w:r>
      <w:r w:rsidR="0077473D">
        <w:rPr>
          <w:rFonts w:cstheme="minorHAnsi"/>
          <w:sz w:val="22"/>
          <w:szCs w:val="22"/>
        </w:rPr>
        <w:t>le</w:t>
      </w:r>
      <w:r w:rsidR="00B82D47" w:rsidRPr="00FB168D">
        <w:rPr>
          <w:rFonts w:cstheme="minorHAnsi"/>
          <w:sz w:val="22"/>
          <w:szCs w:val="22"/>
        </w:rPr>
        <w:t xml:space="preserve"> cadre </w:t>
      </w:r>
      <w:r w:rsidRPr="00FB168D">
        <w:rPr>
          <w:rFonts w:cstheme="minorHAnsi"/>
          <w:sz w:val="22"/>
          <w:szCs w:val="22"/>
        </w:rPr>
        <w:t xml:space="preserve">logique du </w:t>
      </w:r>
      <w:r w:rsidR="0046521B" w:rsidRPr="00FB168D">
        <w:rPr>
          <w:rFonts w:cstheme="minorHAnsi"/>
          <w:sz w:val="22"/>
          <w:szCs w:val="22"/>
        </w:rPr>
        <w:t>projet avec</w:t>
      </w:r>
      <w:r w:rsidRPr="00FB168D">
        <w:rPr>
          <w:rFonts w:cstheme="minorHAnsi"/>
          <w:sz w:val="22"/>
          <w:szCs w:val="22"/>
        </w:rPr>
        <w:t xml:space="preserve"> les valeurs de référence</w:t>
      </w:r>
      <w:r w:rsidR="0046521B">
        <w:rPr>
          <w:rFonts w:cstheme="minorHAnsi"/>
          <w:sz w:val="22"/>
          <w:szCs w:val="22"/>
        </w:rPr>
        <w:t xml:space="preserve"> obtenues</w:t>
      </w:r>
      <w:r w:rsidRPr="00FB168D">
        <w:rPr>
          <w:rFonts w:cstheme="minorHAnsi"/>
          <w:sz w:val="22"/>
          <w:szCs w:val="22"/>
        </w:rPr>
        <w:t xml:space="preserve"> et proposer des </w:t>
      </w:r>
      <w:r w:rsidR="00B82D47" w:rsidRPr="00FB168D">
        <w:rPr>
          <w:rFonts w:cstheme="minorHAnsi"/>
          <w:sz w:val="22"/>
          <w:szCs w:val="22"/>
        </w:rPr>
        <w:t xml:space="preserve">valeurs </w:t>
      </w:r>
      <w:r w:rsidRPr="00FB168D">
        <w:rPr>
          <w:rFonts w:cstheme="minorHAnsi"/>
          <w:sz w:val="22"/>
          <w:szCs w:val="22"/>
        </w:rPr>
        <w:t>cibles réalistes</w:t>
      </w:r>
      <w:r w:rsidR="00B82D47" w:rsidRPr="00FB168D">
        <w:rPr>
          <w:rFonts w:cstheme="minorHAnsi"/>
          <w:sz w:val="22"/>
          <w:szCs w:val="22"/>
        </w:rPr>
        <w:t> ;</w:t>
      </w:r>
    </w:p>
    <w:p w14:paraId="4EB5CB14" w14:textId="2FC74A02" w:rsidR="00B539F0" w:rsidRPr="00847970" w:rsidRDefault="00F61044" w:rsidP="001D7A9A">
      <w:pPr>
        <w:pStyle w:val="Listbullets"/>
        <w:numPr>
          <w:ilvl w:val="0"/>
          <w:numId w:val="14"/>
        </w:numPr>
        <w:spacing w:line="276" w:lineRule="auto"/>
        <w:jc w:val="both"/>
        <w:rPr>
          <w:rFonts w:cstheme="minorHAnsi"/>
          <w:sz w:val="22"/>
          <w:szCs w:val="22"/>
        </w:rPr>
      </w:pPr>
      <w:r w:rsidRPr="00FB168D">
        <w:rPr>
          <w:rFonts w:cstheme="minorHAnsi"/>
          <w:sz w:val="22"/>
          <w:szCs w:val="22"/>
        </w:rPr>
        <w:t xml:space="preserve">Fournir une cartographie des </w:t>
      </w:r>
      <w:r w:rsidR="005E54F0" w:rsidRPr="00847970">
        <w:rPr>
          <w:rFonts w:cstheme="minorHAnsi"/>
          <w:sz w:val="22"/>
          <w:szCs w:val="22"/>
        </w:rPr>
        <w:t xml:space="preserve">attitudes, motivations et freins </w:t>
      </w:r>
      <w:r w:rsidR="00AE0426" w:rsidRPr="00FB168D">
        <w:rPr>
          <w:rFonts w:cstheme="minorHAnsi"/>
          <w:sz w:val="22"/>
          <w:szCs w:val="22"/>
        </w:rPr>
        <w:t xml:space="preserve">relatifs à l’utilisation des </w:t>
      </w:r>
      <w:r w:rsidR="00A265E6" w:rsidRPr="00FB168D">
        <w:rPr>
          <w:rFonts w:cstheme="minorHAnsi"/>
          <w:sz w:val="22"/>
          <w:szCs w:val="22"/>
        </w:rPr>
        <w:t>solutions de cuisson</w:t>
      </w:r>
      <w:r w:rsidR="005F3724" w:rsidRPr="00FB168D">
        <w:rPr>
          <w:rFonts w:cstheme="minorHAnsi"/>
          <w:sz w:val="22"/>
          <w:szCs w:val="22"/>
        </w:rPr>
        <w:t xml:space="preserve"> propres</w:t>
      </w:r>
      <w:r w:rsidR="000831FE" w:rsidRPr="00FB168D">
        <w:rPr>
          <w:rFonts w:cstheme="minorHAnsi"/>
          <w:sz w:val="22"/>
          <w:szCs w:val="22"/>
        </w:rPr>
        <w:t> ;</w:t>
      </w:r>
    </w:p>
    <w:p w14:paraId="5FCA3086" w14:textId="77777777" w:rsidR="000831FE" w:rsidRPr="00847970" w:rsidRDefault="00FD179A" w:rsidP="001D7A9A">
      <w:pPr>
        <w:pStyle w:val="Listbullets"/>
        <w:numPr>
          <w:ilvl w:val="0"/>
          <w:numId w:val="14"/>
        </w:numPr>
        <w:spacing w:line="276" w:lineRule="auto"/>
        <w:jc w:val="both"/>
        <w:rPr>
          <w:rFonts w:cstheme="minorHAnsi"/>
          <w:sz w:val="22"/>
          <w:szCs w:val="22"/>
        </w:rPr>
      </w:pPr>
      <w:r w:rsidRPr="00FB168D">
        <w:rPr>
          <w:rFonts w:cstheme="minorHAnsi"/>
          <w:sz w:val="22"/>
          <w:szCs w:val="22"/>
        </w:rPr>
        <w:t>Identifier les leviers de changement</w:t>
      </w:r>
      <w:r w:rsidR="000831FE" w:rsidRPr="00FB168D">
        <w:rPr>
          <w:rFonts w:cstheme="minorHAnsi"/>
          <w:sz w:val="22"/>
          <w:szCs w:val="22"/>
        </w:rPr>
        <w:t>, en r</w:t>
      </w:r>
      <w:r w:rsidR="000831FE" w:rsidRPr="00847970">
        <w:rPr>
          <w:rFonts w:cstheme="minorHAnsi"/>
          <w:sz w:val="22"/>
          <w:szCs w:val="22"/>
        </w:rPr>
        <w:t>epér</w:t>
      </w:r>
      <w:r w:rsidR="000831FE" w:rsidRPr="00FB168D">
        <w:rPr>
          <w:rFonts w:cstheme="minorHAnsi"/>
          <w:sz w:val="22"/>
          <w:szCs w:val="22"/>
        </w:rPr>
        <w:t xml:space="preserve">ant </w:t>
      </w:r>
      <w:r w:rsidR="000831FE" w:rsidRPr="00847970">
        <w:rPr>
          <w:rFonts w:cstheme="minorHAnsi"/>
          <w:sz w:val="22"/>
          <w:szCs w:val="22"/>
        </w:rPr>
        <w:t>les facteurs culturels, sociaux et économiques favorables à l’adhésion</w:t>
      </w:r>
      <w:r w:rsidR="000831FE" w:rsidRPr="00FB168D">
        <w:rPr>
          <w:rFonts w:cstheme="minorHAnsi"/>
          <w:sz w:val="22"/>
          <w:szCs w:val="22"/>
        </w:rPr>
        <w:t xml:space="preserve"> des communautés aux solutions de cuisson propres ;</w:t>
      </w:r>
    </w:p>
    <w:p w14:paraId="5B2C04A6" w14:textId="15B85E29" w:rsidR="00B539F0" w:rsidRPr="00847970" w:rsidRDefault="00FD179A" w:rsidP="001D7A9A">
      <w:pPr>
        <w:pStyle w:val="ListParagraph"/>
        <w:numPr>
          <w:ilvl w:val="0"/>
          <w:numId w:val="14"/>
        </w:numPr>
        <w:spacing w:line="276" w:lineRule="auto"/>
        <w:jc w:val="both"/>
        <w:rPr>
          <w:rFonts w:asciiTheme="minorHAnsi" w:eastAsiaTheme="minorHAnsi" w:hAnsiTheme="minorHAnsi" w:cstheme="minorHAnsi"/>
          <w:sz w:val="22"/>
          <w:szCs w:val="22"/>
          <w:lang w:eastAsia="en-US"/>
          <w14:ligatures w14:val="none"/>
        </w:rPr>
      </w:pPr>
      <w:r w:rsidRPr="00FB168D">
        <w:rPr>
          <w:rFonts w:asciiTheme="minorHAnsi" w:eastAsiaTheme="minorHAnsi" w:hAnsiTheme="minorHAnsi" w:cstheme="minorHAnsi"/>
          <w:sz w:val="22"/>
          <w:szCs w:val="22"/>
          <w:lang w:eastAsia="en-US"/>
          <w14:ligatures w14:val="none"/>
        </w:rPr>
        <w:t>Proposer d</w:t>
      </w:r>
      <w:r w:rsidR="00B539F0" w:rsidRPr="00FB168D">
        <w:rPr>
          <w:rFonts w:asciiTheme="minorHAnsi" w:eastAsiaTheme="minorHAnsi" w:hAnsiTheme="minorHAnsi" w:cstheme="minorHAnsi"/>
          <w:sz w:val="22"/>
          <w:szCs w:val="22"/>
          <w:lang w:eastAsia="en-US"/>
          <w14:ligatures w14:val="none"/>
        </w:rPr>
        <w:t>es messages</w:t>
      </w:r>
      <w:r w:rsidR="007667B8" w:rsidRPr="00FB168D">
        <w:rPr>
          <w:rFonts w:asciiTheme="minorHAnsi" w:eastAsiaTheme="minorHAnsi" w:hAnsiTheme="minorHAnsi" w:cstheme="minorHAnsi"/>
          <w:sz w:val="22"/>
          <w:szCs w:val="22"/>
          <w:lang w:eastAsia="en-US"/>
          <w14:ligatures w14:val="none"/>
        </w:rPr>
        <w:t xml:space="preserve">, </w:t>
      </w:r>
      <w:r w:rsidR="007B00C3" w:rsidRPr="00FB168D">
        <w:rPr>
          <w:rFonts w:asciiTheme="minorHAnsi" w:eastAsiaTheme="minorHAnsi" w:hAnsiTheme="minorHAnsi" w:cstheme="minorHAnsi"/>
          <w:sz w:val="22"/>
          <w:szCs w:val="22"/>
          <w:lang w:eastAsia="en-US"/>
          <w14:ligatures w14:val="none"/>
        </w:rPr>
        <w:t xml:space="preserve">mécanismes d’influence </w:t>
      </w:r>
      <w:r w:rsidR="00B539F0" w:rsidRPr="00847970">
        <w:rPr>
          <w:rFonts w:asciiTheme="minorHAnsi" w:eastAsiaTheme="minorHAnsi" w:hAnsiTheme="minorHAnsi" w:cstheme="minorHAnsi"/>
          <w:sz w:val="22"/>
          <w:szCs w:val="22"/>
          <w:lang w:eastAsia="en-US"/>
          <w14:ligatures w14:val="none"/>
        </w:rPr>
        <w:t xml:space="preserve">et canaux de communication adaptés </w:t>
      </w:r>
      <w:r w:rsidR="007B00C3" w:rsidRPr="00FB168D">
        <w:rPr>
          <w:rFonts w:asciiTheme="minorHAnsi" w:eastAsiaTheme="minorHAnsi" w:hAnsiTheme="minorHAnsi" w:cstheme="minorHAnsi"/>
          <w:sz w:val="22"/>
          <w:szCs w:val="22"/>
          <w:lang w:eastAsia="en-US"/>
          <w14:ligatures w14:val="none"/>
        </w:rPr>
        <w:t xml:space="preserve">aux communautés </w:t>
      </w:r>
      <w:r w:rsidR="00B539F0" w:rsidRPr="00847970">
        <w:rPr>
          <w:rFonts w:asciiTheme="minorHAnsi" w:eastAsiaTheme="minorHAnsi" w:hAnsiTheme="minorHAnsi" w:cstheme="minorHAnsi"/>
          <w:sz w:val="22"/>
          <w:szCs w:val="22"/>
          <w:lang w:eastAsia="en-US"/>
          <w14:ligatures w14:val="none"/>
        </w:rPr>
        <w:t>cible</w:t>
      </w:r>
      <w:r w:rsidR="007B00C3" w:rsidRPr="00FB168D">
        <w:rPr>
          <w:rFonts w:asciiTheme="minorHAnsi" w:eastAsiaTheme="minorHAnsi" w:hAnsiTheme="minorHAnsi" w:cstheme="minorHAnsi"/>
          <w:sz w:val="22"/>
          <w:szCs w:val="22"/>
          <w:lang w:eastAsia="en-US"/>
          <w14:ligatures w14:val="none"/>
        </w:rPr>
        <w:t>s</w:t>
      </w:r>
      <w:r w:rsidR="007667B8" w:rsidRPr="00FB168D">
        <w:rPr>
          <w:rFonts w:asciiTheme="minorHAnsi" w:eastAsiaTheme="minorHAnsi" w:hAnsiTheme="minorHAnsi" w:cstheme="minorHAnsi"/>
          <w:sz w:val="22"/>
          <w:szCs w:val="22"/>
          <w:lang w:eastAsia="en-US"/>
          <w14:ligatures w14:val="none"/>
        </w:rPr>
        <w:t> ;</w:t>
      </w:r>
    </w:p>
    <w:p w14:paraId="525B7C27" w14:textId="7A838C6C" w:rsidR="00B343C9" w:rsidRPr="00FB168D" w:rsidRDefault="00B343C9" w:rsidP="001D7A9A">
      <w:pPr>
        <w:pStyle w:val="Listbullets"/>
        <w:numPr>
          <w:ilvl w:val="0"/>
          <w:numId w:val="14"/>
        </w:numPr>
        <w:spacing w:line="276" w:lineRule="auto"/>
        <w:jc w:val="both"/>
        <w:rPr>
          <w:rFonts w:cstheme="minorHAnsi"/>
          <w:sz w:val="22"/>
          <w:szCs w:val="22"/>
        </w:rPr>
      </w:pPr>
      <w:r w:rsidRPr="00FB168D">
        <w:rPr>
          <w:rFonts w:cstheme="minorHAnsi"/>
          <w:sz w:val="22"/>
          <w:szCs w:val="22"/>
        </w:rPr>
        <w:t>Fournir des recommandations stratégiques basées sur les résultats de l’étude</w:t>
      </w:r>
      <w:r w:rsidR="00EC7F51" w:rsidRPr="00FB168D">
        <w:rPr>
          <w:rFonts w:cstheme="minorHAnsi"/>
          <w:sz w:val="22"/>
          <w:szCs w:val="22"/>
        </w:rPr>
        <w:t> </w:t>
      </w:r>
      <w:r w:rsidR="00130BA3" w:rsidRPr="00FB168D">
        <w:rPr>
          <w:rFonts w:cstheme="minorHAnsi"/>
          <w:sz w:val="22"/>
          <w:szCs w:val="22"/>
        </w:rPr>
        <w:t>pour une meilleure mise en œuvre</w:t>
      </w:r>
      <w:r w:rsidR="007667B8" w:rsidRPr="00FB168D">
        <w:rPr>
          <w:rFonts w:cstheme="minorHAnsi"/>
          <w:sz w:val="22"/>
          <w:szCs w:val="22"/>
        </w:rPr>
        <w:t>.</w:t>
      </w:r>
    </w:p>
    <w:p w14:paraId="39290207" w14:textId="45CC0CA6" w:rsidR="00BA45D2" w:rsidRPr="00FB168D" w:rsidRDefault="00BA45D2" w:rsidP="00D363A5">
      <w:pPr>
        <w:pStyle w:val="Listbullets"/>
        <w:numPr>
          <w:ilvl w:val="0"/>
          <w:numId w:val="0"/>
        </w:numPr>
        <w:spacing w:line="276" w:lineRule="auto"/>
        <w:ind w:left="397" w:hanging="397"/>
        <w:jc w:val="both"/>
        <w:rPr>
          <w:rFonts w:cstheme="minorHAnsi"/>
          <w:sz w:val="22"/>
          <w:szCs w:val="22"/>
        </w:rPr>
      </w:pPr>
    </w:p>
    <w:p w14:paraId="33B6B25B" w14:textId="15247724" w:rsidR="00D2013E" w:rsidRPr="00F6304F" w:rsidRDefault="00C85EF2" w:rsidP="0047647A">
      <w:pPr>
        <w:pStyle w:val="Listbullets"/>
        <w:numPr>
          <w:ilvl w:val="0"/>
          <w:numId w:val="0"/>
        </w:numPr>
        <w:spacing w:line="276" w:lineRule="auto"/>
        <w:jc w:val="both"/>
        <w:rPr>
          <w:rFonts w:cstheme="minorHAnsi"/>
          <w:i/>
          <w:iCs/>
          <w:sz w:val="22"/>
          <w:szCs w:val="22"/>
        </w:rPr>
      </w:pPr>
      <w:r w:rsidRPr="00F6304F">
        <w:rPr>
          <w:rFonts w:cstheme="minorHAnsi"/>
          <w:b/>
          <w:bCs/>
          <w:i/>
          <w:iCs/>
          <w:sz w:val="22"/>
          <w:szCs w:val="22"/>
        </w:rPr>
        <w:t>NB :</w:t>
      </w:r>
      <w:r w:rsidRPr="00F6304F">
        <w:rPr>
          <w:rFonts w:cstheme="minorHAnsi"/>
          <w:i/>
          <w:iCs/>
          <w:sz w:val="22"/>
          <w:szCs w:val="22"/>
        </w:rPr>
        <w:t xml:space="preserve"> </w:t>
      </w:r>
      <w:r w:rsidR="00BA45D2" w:rsidRPr="00F6304F">
        <w:rPr>
          <w:rFonts w:cstheme="minorHAnsi"/>
          <w:i/>
          <w:iCs/>
          <w:sz w:val="22"/>
          <w:szCs w:val="22"/>
        </w:rPr>
        <w:t xml:space="preserve">La proposition des </w:t>
      </w:r>
      <w:r w:rsidR="00277DE9">
        <w:rPr>
          <w:rFonts w:cstheme="minorHAnsi"/>
          <w:i/>
          <w:iCs/>
          <w:sz w:val="22"/>
          <w:szCs w:val="22"/>
        </w:rPr>
        <w:t>équipes de consultants</w:t>
      </w:r>
      <w:r w:rsidR="00BA45D2" w:rsidRPr="00F6304F">
        <w:rPr>
          <w:rFonts w:cstheme="minorHAnsi"/>
          <w:i/>
          <w:iCs/>
          <w:sz w:val="22"/>
          <w:szCs w:val="22"/>
        </w:rPr>
        <w:t xml:space="preserve"> devra préciser l’approche et les étapes méthodologiques pour la conduite de l’étude. </w:t>
      </w:r>
      <w:r w:rsidR="002E6586">
        <w:rPr>
          <w:rFonts w:cstheme="minorHAnsi"/>
          <w:i/>
          <w:iCs/>
          <w:sz w:val="22"/>
          <w:szCs w:val="22"/>
        </w:rPr>
        <w:t xml:space="preserve"> </w:t>
      </w:r>
    </w:p>
    <w:p w14:paraId="7AEC533E" w14:textId="735E45CA" w:rsidR="0047647A" w:rsidRPr="00F6304F" w:rsidRDefault="00D2013E" w:rsidP="0047647A">
      <w:pPr>
        <w:pStyle w:val="Listbullets"/>
        <w:numPr>
          <w:ilvl w:val="0"/>
          <w:numId w:val="0"/>
        </w:numPr>
        <w:spacing w:line="276" w:lineRule="auto"/>
        <w:jc w:val="both"/>
        <w:rPr>
          <w:rFonts w:cstheme="minorHAnsi"/>
          <w:i/>
          <w:iCs/>
          <w:sz w:val="22"/>
          <w:szCs w:val="22"/>
        </w:rPr>
      </w:pPr>
      <w:r w:rsidRPr="00F6304F">
        <w:rPr>
          <w:rFonts w:cstheme="minorHAnsi"/>
          <w:i/>
          <w:iCs/>
          <w:sz w:val="22"/>
          <w:szCs w:val="22"/>
        </w:rPr>
        <w:t>Quant au c</w:t>
      </w:r>
      <w:r w:rsidR="00BA45D2" w:rsidRPr="00F6304F">
        <w:rPr>
          <w:rFonts w:cstheme="minorHAnsi"/>
          <w:i/>
          <w:iCs/>
          <w:sz w:val="22"/>
          <w:szCs w:val="22"/>
        </w:rPr>
        <w:t>hronogramme indicatif</w:t>
      </w:r>
      <w:r w:rsidRPr="00F6304F">
        <w:rPr>
          <w:rFonts w:cstheme="minorHAnsi"/>
          <w:i/>
          <w:iCs/>
          <w:sz w:val="22"/>
          <w:szCs w:val="22"/>
        </w:rPr>
        <w:t>, l’</w:t>
      </w:r>
      <w:r w:rsidR="00BA45D2" w:rsidRPr="00F6304F">
        <w:rPr>
          <w:rFonts w:cstheme="minorHAnsi"/>
          <w:i/>
          <w:iCs/>
          <w:sz w:val="22"/>
          <w:szCs w:val="22"/>
        </w:rPr>
        <w:t xml:space="preserve">’étude se déroulera </w:t>
      </w:r>
      <w:r w:rsidR="00586DDF">
        <w:rPr>
          <w:rFonts w:cstheme="minorHAnsi"/>
          <w:i/>
          <w:iCs/>
          <w:sz w:val="22"/>
          <w:szCs w:val="22"/>
        </w:rPr>
        <w:t>courant</w:t>
      </w:r>
      <w:r w:rsidR="00BA45D2" w:rsidRPr="00F6304F">
        <w:rPr>
          <w:rFonts w:cstheme="minorHAnsi"/>
          <w:i/>
          <w:iCs/>
          <w:sz w:val="22"/>
          <w:szCs w:val="22"/>
        </w:rPr>
        <w:t xml:space="preserve"> septembre 2025</w:t>
      </w:r>
      <w:r w:rsidR="00F6304F" w:rsidRPr="00F6304F">
        <w:rPr>
          <w:rFonts w:cstheme="minorHAnsi"/>
          <w:i/>
          <w:iCs/>
          <w:sz w:val="22"/>
          <w:szCs w:val="22"/>
        </w:rPr>
        <w:t>.</w:t>
      </w:r>
    </w:p>
    <w:p w14:paraId="3B665469" w14:textId="6411ACF1" w:rsidR="00BA45D2" w:rsidRPr="00F6304F" w:rsidRDefault="00BA45D2" w:rsidP="0047647A">
      <w:pPr>
        <w:pStyle w:val="Listbullets"/>
        <w:numPr>
          <w:ilvl w:val="0"/>
          <w:numId w:val="0"/>
        </w:numPr>
        <w:spacing w:line="276" w:lineRule="auto"/>
        <w:jc w:val="both"/>
        <w:rPr>
          <w:rFonts w:cstheme="minorHAnsi"/>
          <w:i/>
          <w:iCs/>
          <w:sz w:val="22"/>
          <w:szCs w:val="22"/>
        </w:rPr>
      </w:pPr>
      <w:r w:rsidRPr="00F6304F">
        <w:rPr>
          <w:rFonts w:cstheme="minorHAnsi"/>
          <w:i/>
          <w:iCs/>
          <w:sz w:val="22"/>
          <w:szCs w:val="22"/>
        </w:rPr>
        <w:t xml:space="preserve">La proposition des </w:t>
      </w:r>
      <w:r w:rsidR="002E6586" w:rsidRPr="002E6586">
        <w:rPr>
          <w:rFonts w:cstheme="minorHAnsi"/>
          <w:i/>
          <w:iCs/>
          <w:sz w:val="22"/>
          <w:szCs w:val="22"/>
        </w:rPr>
        <w:t xml:space="preserve">équipes de consultants </w:t>
      </w:r>
      <w:r w:rsidRPr="00F6304F">
        <w:rPr>
          <w:rFonts w:cstheme="minorHAnsi"/>
          <w:i/>
          <w:iCs/>
          <w:sz w:val="22"/>
          <w:szCs w:val="22"/>
        </w:rPr>
        <w:t>devra préciser le chronogramme détaillé de l’étude</w:t>
      </w:r>
      <w:r w:rsidR="00C85EF2" w:rsidRPr="00F6304F">
        <w:rPr>
          <w:rFonts w:cstheme="minorHAnsi"/>
          <w:i/>
          <w:iCs/>
          <w:sz w:val="22"/>
          <w:szCs w:val="22"/>
        </w:rPr>
        <w:t xml:space="preserve">. </w:t>
      </w:r>
    </w:p>
    <w:p w14:paraId="0A6C7453" w14:textId="5FC10D2B" w:rsidR="00BA45D2" w:rsidRPr="00FB168D" w:rsidRDefault="00BA45D2" w:rsidP="0047647A">
      <w:pPr>
        <w:pStyle w:val="Listbullets"/>
        <w:numPr>
          <w:ilvl w:val="0"/>
          <w:numId w:val="0"/>
        </w:numPr>
        <w:spacing w:line="276" w:lineRule="auto"/>
        <w:jc w:val="both"/>
        <w:rPr>
          <w:rFonts w:cstheme="minorHAnsi"/>
          <w:i/>
          <w:iCs/>
          <w:sz w:val="22"/>
          <w:szCs w:val="22"/>
        </w:rPr>
      </w:pPr>
      <w:r w:rsidRPr="00F6304F">
        <w:rPr>
          <w:rFonts w:cstheme="minorHAnsi"/>
          <w:i/>
          <w:iCs/>
          <w:sz w:val="22"/>
          <w:szCs w:val="22"/>
        </w:rPr>
        <w:t>La prestation débute à partir de la signature du contrat par l’équipe de consultants.</w:t>
      </w:r>
    </w:p>
    <w:p w14:paraId="67A43BB1" w14:textId="77777777" w:rsidR="009C747E" w:rsidRPr="00FB168D" w:rsidRDefault="009C747E" w:rsidP="009C747E">
      <w:pPr>
        <w:pStyle w:val="Listbullets"/>
        <w:numPr>
          <w:ilvl w:val="0"/>
          <w:numId w:val="0"/>
        </w:numPr>
        <w:spacing w:line="276" w:lineRule="auto"/>
        <w:ind w:left="397" w:hanging="397"/>
        <w:jc w:val="both"/>
        <w:rPr>
          <w:rFonts w:cstheme="minorHAnsi"/>
          <w:b/>
          <w:bCs/>
          <w:sz w:val="24"/>
          <w:szCs w:val="24"/>
        </w:rPr>
      </w:pPr>
    </w:p>
    <w:p w14:paraId="3536F9F3" w14:textId="2BF8271E" w:rsidR="001341F4" w:rsidRPr="00FB168D" w:rsidRDefault="009C747E" w:rsidP="00D363A5">
      <w:pPr>
        <w:pStyle w:val="Listbullets"/>
        <w:numPr>
          <w:ilvl w:val="0"/>
          <w:numId w:val="0"/>
        </w:numPr>
        <w:spacing w:line="276" w:lineRule="auto"/>
        <w:ind w:left="397" w:hanging="397"/>
        <w:jc w:val="both"/>
        <w:rPr>
          <w:rFonts w:cstheme="minorHAnsi"/>
          <w:b/>
          <w:bCs/>
          <w:sz w:val="24"/>
          <w:szCs w:val="24"/>
        </w:rPr>
      </w:pPr>
      <w:r w:rsidRPr="00FB168D">
        <w:rPr>
          <w:rFonts w:cstheme="minorHAnsi"/>
          <w:b/>
          <w:bCs/>
          <w:sz w:val="24"/>
          <w:szCs w:val="24"/>
        </w:rPr>
        <w:t xml:space="preserve">3.2. Livrables </w:t>
      </w:r>
    </w:p>
    <w:p w14:paraId="03C95BF4" w14:textId="77777777" w:rsidR="009C747E" w:rsidRPr="00FB168D" w:rsidRDefault="009C747E" w:rsidP="00D363A5">
      <w:pPr>
        <w:pStyle w:val="Listbullets"/>
        <w:numPr>
          <w:ilvl w:val="0"/>
          <w:numId w:val="0"/>
        </w:numPr>
        <w:spacing w:line="276" w:lineRule="auto"/>
        <w:ind w:left="397" w:hanging="397"/>
        <w:jc w:val="both"/>
        <w:rPr>
          <w:rFonts w:cstheme="minorHAnsi"/>
          <w:b/>
          <w:bCs/>
          <w:sz w:val="24"/>
          <w:szCs w:val="24"/>
        </w:rPr>
      </w:pPr>
    </w:p>
    <w:tbl>
      <w:tblPr>
        <w:tblStyle w:val="TableGrid1"/>
        <w:tblW w:w="0" w:type="auto"/>
        <w:tblLook w:val="04A0" w:firstRow="1" w:lastRow="0" w:firstColumn="1" w:lastColumn="0" w:noHBand="0" w:noVBand="1"/>
      </w:tblPr>
      <w:tblGrid>
        <w:gridCol w:w="1980"/>
        <w:gridCol w:w="3118"/>
        <w:gridCol w:w="3741"/>
      </w:tblGrid>
      <w:tr w:rsidR="00A95FC6" w:rsidRPr="00FB168D" w14:paraId="09574059" w14:textId="77777777" w:rsidTr="00A95FC6">
        <w:trPr>
          <w:cnfStyle w:val="100000000000" w:firstRow="1" w:lastRow="0" w:firstColumn="0" w:lastColumn="0" w:oddVBand="0" w:evenVBand="0" w:oddHBand="0" w:evenHBand="0" w:firstRowFirstColumn="0" w:firstRowLastColumn="0" w:lastRowFirstColumn="0" w:lastRowLastColumn="0"/>
        </w:trPr>
        <w:tc>
          <w:tcPr>
            <w:tcW w:w="1980" w:type="dxa"/>
            <w:hideMark/>
          </w:tcPr>
          <w:p w14:paraId="6286C6C8" w14:textId="77777777" w:rsidR="001341F4" w:rsidRPr="001341F4" w:rsidRDefault="001341F4" w:rsidP="001341F4">
            <w:pPr>
              <w:pStyle w:val="Listbullets"/>
              <w:numPr>
                <w:ilvl w:val="0"/>
                <w:numId w:val="0"/>
              </w:numPr>
              <w:spacing w:line="276" w:lineRule="auto"/>
              <w:jc w:val="both"/>
              <w:rPr>
                <w:rFonts w:asciiTheme="minorHAnsi" w:hAnsiTheme="minorHAnsi" w:cstheme="minorHAnsi"/>
                <w:b/>
                <w:bCs/>
                <w:sz w:val="22"/>
              </w:rPr>
            </w:pPr>
            <w:r w:rsidRPr="001341F4">
              <w:rPr>
                <w:rFonts w:asciiTheme="minorHAnsi" w:hAnsiTheme="minorHAnsi" w:cstheme="minorHAnsi"/>
                <w:b/>
                <w:bCs/>
                <w:sz w:val="22"/>
              </w:rPr>
              <w:t>Livrables</w:t>
            </w:r>
          </w:p>
        </w:tc>
        <w:tc>
          <w:tcPr>
            <w:tcW w:w="3118" w:type="dxa"/>
            <w:hideMark/>
          </w:tcPr>
          <w:p w14:paraId="6784CDAE" w14:textId="77777777" w:rsidR="001341F4" w:rsidRPr="001341F4" w:rsidRDefault="001341F4" w:rsidP="001341F4">
            <w:pPr>
              <w:pStyle w:val="Listbullets"/>
              <w:numPr>
                <w:ilvl w:val="0"/>
                <w:numId w:val="0"/>
              </w:numPr>
              <w:spacing w:line="276" w:lineRule="auto"/>
              <w:jc w:val="both"/>
              <w:rPr>
                <w:rFonts w:asciiTheme="minorHAnsi" w:hAnsiTheme="minorHAnsi" w:cstheme="minorHAnsi"/>
                <w:b/>
                <w:bCs/>
                <w:sz w:val="22"/>
              </w:rPr>
            </w:pPr>
            <w:r w:rsidRPr="001341F4">
              <w:rPr>
                <w:rFonts w:asciiTheme="minorHAnsi" w:hAnsiTheme="minorHAnsi" w:cstheme="minorHAnsi"/>
                <w:b/>
                <w:bCs/>
                <w:sz w:val="22"/>
              </w:rPr>
              <w:t>Liste des résultats par livrable</w:t>
            </w:r>
          </w:p>
        </w:tc>
        <w:tc>
          <w:tcPr>
            <w:tcW w:w="0" w:type="auto"/>
            <w:hideMark/>
          </w:tcPr>
          <w:p w14:paraId="6CD3830B" w14:textId="77777777" w:rsidR="001341F4" w:rsidRPr="001341F4" w:rsidRDefault="001341F4" w:rsidP="001341F4">
            <w:pPr>
              <w:pStyle w:val="Listbullets"/>
              <w:numPr>
                <w:ilvl w:val="0"/>
                <w:numId w:val="0"/>
              </w:numPr>
              <w:spacing w:line="276" w:lineRule="auto"/>
              <w:jc w:val="both"/>
              <w:rPr>
                <w:rFonts w:asciiTheme="minorHAnsi" w:hAnsiTheme="minorHAnsi" w:cstheme="minorHAnsi"/>
                <w:b/>
                <w:bCs/>
                <w:sz w:val="22"/>
              </w:rPr>
            </w:pPr>
            <w:r w:rsidRPr="001341F4">
              <w:rPr>
                <w:rFonts w:asciiTheme="minorHAnsi" w:hAnsiTheme="minorHAnsi" w:cstheme="minorHAnsi"/>
                <w:b/>
                <w:bCs/>
                <w:sz w:val="22"/>
              </w:rPr>
              <w:t>Critères de qualité</w:t>
            </w:r>
          </w:p>
        </w:tc>
      </w:tr>
      <w:tr w:rsidR="00FB168D" w:rsidRPr="00FB168D" w14:paraId="7BBC7008" w14:textId="77777777" w:rsidTr="00A95FC6">
        <w:tc>
          <w:tcPr>
            <w:tcW w:w="1980" w:type="dxa"/>
            <w:hideMark/>
          </w:tcPr>
          <w:p w14:paraId="734C59D7" w14:textId="77777777" w:rsidR="001341F4" w:rsidRPr="001341F4" w:rsidRDefault="001341F4" w:rsidP="001341F4">
            <w:pPr>
              <w:pStyle w:val="Listbullets"/>
              <w:numPr>
                <w:ilvl w:val="0"/>
                <w:numId w:val="0"/>
              </w:numPr>
              <w:spacing w:line="276" w:lineRule="auto"/>
              <w:jc w:val="both"/>
              <w:rPr>
                <w:rFonts w:asciiTheme="minorHAnsi" w:hAnsiTheme="minorHAnsi" w:cstheme="minorHAnsi"/>
                <w:sz w:val="22"/>
              </w:rPr>
            </w:pPr>
            <w:r w:rsidRPr="001341F4">
              <w:rPr>
                <w:rFonts w:asciiTheme="minorHAnsi" w:hAnsiTheme="minorHAnsi" w:cstheme="minorHAnsi"/>
                <w:sz w:val="22"/>
              </w:rPr>
              <w:t>Note de cadrage</w:t>
            </w:r>
          </w:p>
        </w:tc>
        <w:tc>
          <w:tcPr>
            <w:tcW w:w="3118" w:type="dxa"/>
            <w:hideMark/>
          </w:tcPr>
          <w:p w14:paraId="5949692B" w14:textId="77777777" w:rsidR="001341F4" w:rsidRPr="00FB168D"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Objectifs et portée de la mission définis</w:t>
            </w:r>
          </w:p>
          <w:p w14:paraId="11BBC770" w14:textId="6BDEDFBD" w:rsidR="006768D8" w:rsidRPr="00FB168D"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 xml:space="preserve">Méthodologie proposée et calendrier validés </w:t>
            </w:r>
          </w:p>
          <w:p w14:paraId="531F8032" w14:textId="1F619402" w:rsidR="001341F4" w:rsidRPr="001341F4" w:rsidRDefault="006768D8" w:rsidP="001D7A9A">
            <w:pPr>
              <w:pStyle w:val="Listbullets"/>
              <w:numPr>
                <w:ilvl w:val="0"/>
                <w:numId w:val="15"/>
              </w:numPr>
              <w:spacing w:line="276" w:lineRule="auto"/>
              <w:ind w:left="236" w:hanging="236"/>
              <w:jc w:val="both"/>
              <w:rPr>
                <w:rFonts w:asciiTheme="minorHAnsi" w:hAnsiTheme="minorHAnsi" w:cstheme="minorHAnsi"/>
                <w:sz w:val="22"/>
              </w:rPr>
            </w:pPr>
            <w:r w:rsidRPr="00FB168D">
              <w:rPr>
                <w:rFonts w:asciiTheme="minorHAnsi" w:hAnsiTheme="minorHAnsi" w:cstheme="minorHAnsi"/>
                <w:sz w:val="22"/>
              </w:rPr>
              <w:t>Logistique</w:t>
            </w:r>
            <w:r w:rsidR="001341F4" w:rsidRPr="001341F4">
              <w:rPr>
                <w:rFonts w:asciiTheme="minorHAnsi" w:hAnsiTheme="minorHAnsi" w:cstheme="minorHAnsi"/>
                <w:sz w:val="22"/>
              </w:rPr>
              <w:t xml:space="preserve"> et responsabilités </w:t>
            </w:r>
            <w:r w:rsidRPr="00FB168D">
              <w:rPr>
                <w:rFonts w:asciiTheme="minorHAnsi" w:hAnsiTheme="minorHAnsi" w:cstheme="minorHAnsi"/>
                <w:sz w:val="22"/>
              </w:rPr>
              <w:t xml:space="preserve">précisées </w:t>
            </w:r>
          </w:p>
        </w:tc>
        <w:tc>
          <w:tcPr>
            <w:tcW w:w="0" w:type="auto"/>
            <w:hideMark/>
          </w:tcPr>
          <w:p w14:paraId="4697B37E" w14:textId="77777777" w:rsidR="006768D8" w:rsidRPr="00FB168D"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Clarté et précision des objectifs</w:t>
            </w:r>
          </w:p>
          <w:p w14:paraId="66A34392" w14:textId="01CC90AB" w:rsidR="000C5547" w:rsidRPr="00FB168D" w:rsidRDefault="000C5547" w:rsidP="001D7A9A">
            <w:pPr>
              <w:pStyle w:val="Listbullets"/>
              <w:numPr>
                <w:ilvl w:val="0"/>
                <w:numId w:val="15"/>
              </w:numPr>
              <w:spacing w:line="276" w:lineRule="auto"/>
              <w:ind w:left="236" w:hanging="236"/>
              <w:jc w:val="both"/>
              <w:rPr>
                <w:rFonts w:asciiTheme="minorHAnsi" w:hAnsiTheme="minorHAnsi" w:cstheme="minorHAnsi"/>
                <w:sz w:val="22"/>
              </w:rPr>
            </w:pPr>
            <w:r w:rsidRPr="00FB168D">
              <w:rPr>
                <w:rFonts w:asciiTheme="minorHAnsi" w:hAnsiTheme="minorHAnsi" w:cstheme="minorHAnsi"/>
                <w:sz w:val="22"/>
              </w:rPr>
              <w:t xml:space="preserve">Méthodologie </w:t>
            </w:r>
            <w:r w:rsidR="00535B10" w:rsidRPr="00FB168D">
              <w:rPr>
                <w:rFonts w:asciiTheme="minorHAnsi" w:hAnsiTheme="minorHAnsi" w:cstheme="minorHAnsi"/>
                <w:sz w:val="22"/>
              </w:rPr>
              <w:t>appropriée par rapport à la nature du projet ;</w:t>
            </w:r>
            <w:r w:rsidRPr="00FB168D">
              <w:rPr>
                <w:rFonts w:asciiTheme="minorHAnsi" w:hAnsiTheme="minorHAnsi" w:cstheme="minorHAnsi"/>
                <w:sz w:val="22"/>
              </w:rPr>
              <w:t xml:space="preserve"> </w:t>
            </w:r>
          </w:p>
          <w:p w14:paraId="4219011A" w14:textId="3A0ED8E3" w:rsidR="000C5547" w:rsidRPr="00FB168D"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Cohérence avec les attentes du commanditaire</w:t>
            </w:r>
          </w:p>
          <w:p w14:paraId="7A85D800" w14:textId="5A3E55A6" w:rsidR="001341F4" w:rsidRPr="001341F4" w:rsidRDefault="009A1CA2" w:rsidP="001D7A9A">
            <w:pPr>
              <w:pStyle w:val="Listbullets"/>
              <w:numPr>
                <w:ilvl w:val="0"/>
                <w:numId w:val="15"/>
              </w:numPr>
              <w:spacing w:line="276" w:lineRule="auto"/>
              <w:ind w:left="236" w:hanging="236"/>
              <w:jc w:val="both"/>
              <w:rPr>
                <w:rFonts w:asciiTheme="minorHAnsi" w:hAnsiTheme="minorHAnsi" w:cstheme="minorHAnsi"/>
                <w:sz w:val="22"/>
              </w:rPr>
            </w:pPr>
            <w:r w:rsidRPr="00FB168D">
              <w:rPr>
                <w:rFonts w:asciiTheme="minorHAnsi" w:hAnsiTheme="minorHAnsi" w:cstheme="minorHAnsi"/>
                <w:sz w:val="22"/>
              </w:rPr>
              <w:t xml:space="preserve">Calendrier réaliste </w:t>
            </w:r>
            <w:r w:rsidR="0002098E" w:rsidRPr="00FB168D">
              <w:rPr>
                <w:rFonts w:asciiTheme="minorHAnsi" w:hAnsiTheme="minorHAnsi" w:cstheme="minorHAnsi"/>
                <w:sz w:val="22"/>
              </w:rPr>
              <w:t xml:space="preserve">et faisable </w:t>
            </w:r>
          </w:p>
        </w:tc>
      </w:tr>
      <w:tr w:rsidR="00FB168D" w:rsidRPr="00FB168D" w14:paraId="1C72B43B" w14:textId="77777777" w:rsidTr="00A95FC6">
        <w:tc>
          <w:tcPr>
            <w:tcW w:w="1980" w:type="dxa"/>
            <w:hideMark/>
          </w:tcPr>
          <w:p w14:paraId="0722E2D0" w14:textId="77777777" w:rsidR="001341F4" w:rsidRPr="001341F4" w:rsidRDefault="001341F4" w:rsidP="001341F4">
            <w:pPr>
              <w:pStyle w:val="Listbullets"/>
              <w:numPr>
                <w:ilvl w:val="0"/>
                <w:numId w:val="0"/>
              </w:numPr>
              <w:spacing w:line="276" w:lineRule="auto"/>
              <w:jc w:val="both"/>
              <w:rPr>
                <w:rFonts w:asciiTheme="minorHAnsi" w:hAnsiTheme="minorHAnsi" w:cstheme="minorHAnsi"/>
                <w:sz w:val="22"/>
              </w:rPr>
            </w:pPr>
            <w:r w:rsidRPr="001341F4">
              <w:rPr>
                <w:rFonts w:asciiTheme="minorHAnsi" w:hAnsiTheme="minorHAnsi" w:cstheme="minorHAnsi"/>
                <w:sz w:val="22"/>
              </w:rPr>
              <w:lastRenderedPageBreak/>
              <w:t>Outils de collecte validés</w:t>
            </w:r>
          </w:p>
        </w:tc>
        <w:tc>
          <w:tcPr>
            <w:tcW w:w="3118" w:type="dxa"/>
            <w:hideMark/>
          </w:tcPr>
          <w:p w14:paraId="33D573F4" w14:textId="77777777" w:rsidR="00743FE0" w:rsidRPr="00FB168D"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Questionnaires, guides d’entretien</w:t>
            </w:r>
            <w:r w:rsidR="00743FE0" w:rsidRPr="00FB168D">
              <w:rPr>
                <w:rFonts w:asciiTheme="minorHAnsi" w:hAnsiTheme="minorHAnsi" w:cstheme="minorHAnsi"/>
                <w:sz w:val="22"/>
              </w:rPr>
              <w:t xml:space="preserve"> et de FGD validés </w:t>
            </w:r>
          </w:p>
          <w:p w14:paraId="6063FB6F" w14:textId="5AB454D7" w:rsidR="001341F4" w:rsidRPr="001341F4"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 xml:space="preserve"> Protocoles de collecte approuvés</w:t>
            </w:r>
          </w:p>
        </w:tc>
        <w:tc>
          <w:tcPr>
            <w:tcW w:w="0" w:type="auto"/>
            <w:hideMark/>
          </w:tcPr>
          <w:p w14:paraId="1CD768ED" w14:textId="5936B33C" w:rsidR="00E97A4A" w:rsidRPr="00FB168D" w:rsidRDefault="00E97A4A" w:rsidP="001D7A9A">
            <w:pPr>
              <w:pStyle w:val="Listbullets"/>
              <w:numPr>
                <w:ilvl w:val="0"/>
                <w:numId w:val="15"/>
              </w:numPr>
              <w:spacing w:line="276" w:lineRule="auto"/>
              <w:ind w:left="236" w:hanging="236"/>
              <w:jc w:val="both"/>
              <w:rPr>
                <w:rFonts w:asciiTheme="minorHAnsi" w:hAnsiTheme="minorHAnsi" w:cstheme="minorHAnsi"/>
                <w:sz w:val="22"/>
              </w:rPr>
            </w:pPr>
            <w:r w:rsidRPr="00FB168D">
              <w:rPr>
                <w:rFonts w:asciiTheme="minorHAnsi" w:hAnsiTheme="minorHAnsi" w:cstheme="minorHAnsi"/>
                <w:sz w:val="22"/>
              </w:rPr>
              <w:t>Combinaison d’outils</w:t>
            </w:r>
            <w:r w:rsidR="00516DFE" w:rsidRPr="00FB168D">
              <w:rPr>
                <w:rFonts w:asciiTheme="minorHAnsi" w:hAnsiTheme="minorHAnsi" w:cstheme="minorHAnsi"/>
                <w:sz w:val="22"/>
              </w:rPr>
              <w:t xml:space="preserve"> pour </w:t>
            </w:r>
            <w:r w:rsidRPr="00FB168D">
              <w:rPr>
                <w:rFonts w:asciiTheme="minorHAnsi" w:hAnsiTheme="minorHAnsi" w:cstheme="minorHAnsi"/>
                <w:sz w:val="22"/>
              </w:rPr>
              <w:t>prend</w:t>
            </w:r>
            <w:r w:rsidR="00702418" w:rsidRPr="00FB168D">
              <w:rPr>
                <w:rFonts w:asciiTheme="minorHAnsi" w:hAnsiTheme="minorHAnsi" w:cstheme="minorHAnsi"/>
                <w:sz w:val="22"/>
              </w:rPr>
              <w:t>re</w:t>
            </w:r>
            <w:r w:rsidRPr="00FB168D">
              <w:rPr>
                <w:rFonts w:asciiTheme="minorHAnsi" w:hAnsiTheme="minorHAnsi" w:cstheme="minorHAnsi"/>
                <w:sz w:val="22"/>
              </w:rPr>
              <w:t xml:space="preserve"> en compte la méthode mixte</w:t>
            </w:r>
          </w:p>
          <w:p w14:paraId="187CE02D" w14:textId="2AF007AB" w:rsidR="006E4CA6" w:rsidRPr="00FB168D"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Pertinence et alignement avec les objectifs de collecte-</w:t>
            </w:r>
          </w:p>
          <w:p w14:paraId="76B1C22A" w14:textId="569D5CEE" w:rsidR="001341F4" w:rsidRPr="001341F4"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Simplicité d’utilisation et faisabilité sur le terrain</w:t>
            </w:r>
          </w:p>
        </w:tc>
      </w:tr>
      <w:tr w:rsidR="00FB168D" w:rsidRPr="00FB168D" w14:paraId="0714926E" w14:textId="77777777" w:rsidTr="00A95FC6">
        <w:tc>
          <w:tcPr>
            <w:tcW w:w="1980" w:type="dxa"/>
            <w:hideMark/>
          </w:tcPr>
          <w:p w14:paraId="23970602" w14:textId="77777777" w:rsidR="001341F4" w:rsidRPr="001341F4" w:rsidRDefault="001341F4" w:rsidP="001341F4">
            <w:pPr>
              <w:pStyle w:val="Listbullets"/>
              <w:numPr>
                <w:ilvl w:val="0"/>
                <w:numId w:val="0"/>
              </w:numPr>
              <w:spacing w:line="276" w:lineRule="auto"/>
              <w:jc w:val="both"/>
              <w:rPr>
                <w:rFonts w:asciiTheme="minorHAnsi" w:hAnsiTheme="minorHAnsi" w:cstheme="minorHAnsi"/>
                <w:sz w:val="22"/>
              </w:rPr>
            </w:pPr>
            <w:r w:rsidRPr="001341F4">
              <w:rPr>
                <w:rFonts w:asciiTheme="minorHAnsi" w:hAnsiTheme="minorHAnsi" w:cstheme="minorHAnsi"/>
                <w:sz w:val="22"/>
              </w:rPr>
              <w:t>Rapport final, y compris résumé exécutif, recommandations et annexes</w:t>
            </w:r>
          </w:p>
        </w:tc>
        <w:tc>
          <w:tcPr>
            <w:tcW w:w="3118" w:type="dxa"/>
            <w:hideMark/>
          </w:tcPr>
          <w:p w14:paraId="73CE3A0A" w14:textId="583B8B9D" w:rsidR="001341F4" w:rsidRPr="001341F4" w:rsidRDefault="00F77AD4" w:rsidP="001D7A9A">
            <w:pPr>
              <w:pStyle w:val="Listbullets"/>
              <w:numPr>
                <w:ilvl w:val="0"/>
                <w:numId w:val="15"/>
              </w:numPr>
              <w:spacing w:line="276" w:lineRule="auto"/>
              <w:ind w:left="236" w:hanging="236"/>
              <w:jc w:val="both"/>
              <w:rPr>
                <w:rFonts w:asciiTheme="minorHAnsi" w:hAnsiTheme="minorHAnsi" w:cstheme="minorHAnsi"/>
                <w:sz w:val="22"/>
              </w:rPr>
            </w:pPr>
            <w:r w:rsidRPr="00FB168D">
              <w:rPr>
                <w:rFonts w:asciiTheme="minorHAnsi" w:hAnsiTheme="minorHAnsi" w:cstheme="minorHAnsi"/>
                <w:sz w:val="22"/>
              </w:rPr>
              <w:t xml:space="preserve">Rapport </w:t>
            </w:r>
            <w:r w:rsidR="00880038" w:rsidRPr="00FB168D">
              <w:rPr>
                <w:rFonts w:asciiTheme="minorHAnsi" w:hAnsiTheme="minorHAnsi" w:cstheme="minorHAnsi"/>
                <w:sz w:val="22"/>
              </w:rPr>
              <w:t>final</w:t>
            </w:r>
            <w:r w:rsidR="001341F4" w:rsidRPr="001341F4">
              <w:rPr>
                <w:rFonts w:asciiTheme="minorHAnsi" w:hAnsiTheme="minorHAnsi" w:cstheme="minorHAnsi"/>
                <w:sz w:val="22"/>
              </w:rPr>
              <w:t xml:space="preserve"> </w:t>
            </w:r>
            <w:r w:rsidRPr="00FB168D">
              <w:rPr>
                <w:rFonts w:asciiTheme="minorHAnsi" w:hAnsiTheme="minorHAnsi" w:cstheme="minorHAnsi"/>
                <w:sz w:val="22"/>
              </w:rPr>
              <w:t>complet</w:t>
            </w:r>
            <w:r w:rsidR="00880038" w:rsidRPr="00FB168D">
              <w:rPr>
                <w:rFonts w:asciiTheme="minorHAnsi" w:hAnsiTheme="minorHAnsi" w:cstheme="minorHAnsi"/>
                <w:sz w:val="22"/>
              </w:rPr>
              <w:t xml:space="preserve">, </w:t>
            </w:r>
            <w:r w:rsidRPr="00FB168D">
              <w:rPr>
                <w:rFonts w:asciiTheme="minorHAnsi" w:hAnsiTheme="minorHAnsi" w:cstheme="minorHAnsi"/>
                <w:sz w:val="22"/>
              </w:rPr>
              <w:t>trai</w:t>
            </w:r>
            <w:r w:rsidR="00D44FA3">
              <w:rPr>
                <w:rFonts w:asciiTheme="minorHAnsi" w:hAnsiTheme="minorHAnsi" w:cstheme="minorHAnsi"/>
                <w:sz w:val="22"/>
              </w:rPr>
              <w:t>t</w:t>
            </w:r>
            <w:r w:rsidRPr="00FB168D">
              <w:rPr>
                <w:rFonts w:asciiTheme="minorHAnsi" w:hAnsiTheme="minorHAnsi" w:cstheme="minorHAnsi"/>
                <w:sz w:val="22"/>
              </w:rPr>
              <w:t xml:space="preserve">ant tous les aspects du mandat </w:t>
            </w:r>
            <w:r w:rsidR="005B46FB">
              <w:rPr>
                <w:rFonts w:asciiTheme="minorHAnsi" w:hAnsiTheme="minorHAnsi" w:cstheme="minorHAnsi"/>
                <w:sz w:val="22"/>
              </w:rPr>
              <w:t xml:space="preserve">des consultants </w:t>
            </w:r>
          </w:p>
        </w:tc>
        <w:tc>
          <w:tcPr>
            <w:tcW w:w="0" w:type="auto"/>
            <w:hideMark/>
          </w:tcPr>
          <w:p w14:paraId="604ECB53" w14:textId="77777777" w:rsidR="004A093A" w:rsidRPr="00FB168D"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Rigueur et fiabilité des analyses</w:t>
            </w:r>
          </w:p>
          <w:p w14:paraId="49957E21" w14:textId="5016235E" w:rsidR="001341F4" w:rsidRPr="001341F4"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Cohérence entre constats</w:t>
            </w:r>
            <w:r w:rsidR="003E4261" w:rsidRPr="00FB168D">
              <w:rPr>
                <w:rFonts w:asciiTheme="minorHAnsi" w:hAnsiTheme="minorHAnsi" w:cstheme="minorHAnsi"/>
                <w:sz w:val="22"/>
              </w:rPr>
              <w:t>, conclusions et recommandations</w:t>
            </w:r>
          </w:p>
        </w:tc>
      </w:tr>
      <w:tr w:rsidR="00FB168D" w:rsidRPr="00FB168D" w14:paraId="685263BA" w14:textId="77777777" w:rsidTr="00A95FC6">
        <w:tc>
          <w:tcPr>
            <w:tcW w:w="1980" w:type="dxa"/>
            <w:hideMark/>
          </w:tcPr>
          <w:p w14:paraId="3B4242A7" w14:textId="77777777" w:rsidR="001341F4" w:rsidRPr="001341F4" w:rsidRDefault="001341F4" w:rsidP="001341F4">
            <w:pPr>
              <w:pStyle w:val="Listbullets"/>
              <w:numPr>
                <w:ilvl w:val="0"/>
                <w:numId w:val="0"/>
              </w:numPr>
              <w:spacing w:line="276" w:lineRule="auto"/>
              <w:jc w:val="both"/>
              <w:rPr>
                <w:rFonts w:asciiTheme="minorHAnsi" w:hAnsiTheme="minorHAnsi" w:cstheme="minorHAnsi"/>
                <w:sz w:val="22"/>
              </w:rPr>
            </w:pPr>
            <w:r w:rsidRPr="001341F4">
              <w:rPr>
                <w:rFonts w:asciiTheme="minorHAnsi" w:hAnsiTheme="minorHAnsi" w:cstheme="minorHAnsi"/>
                <w:sz w:val="22"/>
              </w:rPr>
              <w:t>Cadre logique mis à jour</w:t>
            </w:r>
          </w:p>
        </w:tc>
        <w:tc>
          <w:tcPr>
            <w:tcW w:w="3118" w:type="dxa"/>
            <w:hideMark/>
          </w:tcPr>
          <w:p w14:paraId="31FFA497" w14:textId="1ADDA8E3" w:rsidR="009F3B75" w:rsidRPr="00FB168D" w:rsidRDefault="009F3B75" w:rsidP="001D7A9A">
            <w:pPr>
              <w:pStyle w:val="Listbullets"/>
              <w:numPr>
                <w:ilvl w:val="0"/>
                <w:numId w:val="15"/>
              </w:numPr>
              <w:spacing w:line="276" w:lineRule="auto"/>
              <w:ind w:left="236" w:hanging="236"/>
              <w:jc w:val="both"/>
              <w:rPr>
                <w:rFonts w:asciiTheme="minorHAnsi" w:hAnsiTheme="minorHAnsi" w:cstheme="minorHAnsi"/>
                <w:sz w:val="22"/>
              </w:rPr>
            </w:pPr>
            <w:r w:rsidRPr="00FB168D">
              <w:rPr>
                <w:rFonts w:asciiTheme="minorHAnsi" w:hAnsiTheme="minorHAnsi" w:cstheme="minorHAnsi"/>
                <w:sz w:val="22"/>
              </w:rPr>
              <w:t xml:space="preserve">Contenu </w:t>
            </w:r>
            <w:r w:rsidR="00FD567B" w:rsidRPr="00FB168D">
              <w:rPr>
                <w:rFonts w:asciiTheme="minorHAnsi" w:hAnsiTheme="minorHAnsi" w:cstheme="minorHAnsi"/>
                <w:sz w:val="22"/>
              </w:rPr>
              <w:t>du cadre logique révisé</w:t>
            </w:r>
          </w:p>
          <w:p w14:paraId="7803DF73" w14:textId="29831CD3" w:rsidR="001341F4" w:rsidRPr="001341F4" w:rsidRDefault="00B1025D" w:rsidP="001D7A9A">
            <w:pPr>
              <w:pStyle w:val="Listbullets"/>
              <w:numPr>
                <w:ilvl w:val="0"/>
                <w:numId w:val="15"/>
              </w:numPr>
              <w:spacing w:line="276" w:lineRule="auto"/>
              <w:ind w:left="236" w:hanging="236"/>
              <w:jc w:val="both"/>
              <w:rPr>
                <w:rFonts w:asciiTheme="minorHAnsi" w:hAnsiTheme="minorHAnsi" w:cstheme="minorHAnsi"/>
                <w:sz w:val="22"/>
              </w:rPr>
            </w:pPr>
            <w:r w:rsidRPr="00FB168D">
              <w:rPr>
                <w:rFonts w:asciiTheme="minorHAnsi" w:hAnsiTheme="minorHAnsi" w:cstheme="minorHAnsi"/>
                <w:sz w:val="22"/>
              </w:rPr>
              <w:t xml:space="preserve">Hypothèses et risques identifiés </w:t>
            </w:r>
          </w:p>
        </w:tc>
        <w:tc>
          <w:tcPr>
            <w:tcW w:w="0" w:type="auto"/>
            <w:hideMark/>
          </w:tcPr>
          <w:p w14:paraId="4ED900E7" w14:textId="6640BF1C" w:rsidR="003E4261" w:rsidRPr="00FB168D"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 xml:space="preserve">Cohérence interne </w:t>
            </w:r>
            <w:r w:rsidR="00FD567B" w:rsidRPr="00FB168D">
              <w:rPr>
                <w:rFonts w:asciiTheme="minorHAnsi" w:hAnsiTheme="minorHAnsi" w:cstheme="minorHAnsi"/>
                <w:sz w:val="22"/>
              </w:rPr>
              <w:t>et l</w:t>
            </w:r>
            <w:r w:rsidR="00FD567B" w:rsidRPr="001341F4">
              <w:rPr>
                <w:rFonts w:asciiTheme="minorHAnsi" w:hAnsiTheme="minorHAnsi" w:cstheme="minorHAnsi"/>
                <w:sz w:val="22"/>
              </w:rPr>
              <w:t xml:space="preserve">iens clairs </w:t>
            </w:r>
            <w:r w:rsidR="009A6D30" w:rsidRPr="00FB168D">
              <w:rPr>
                <w:rFonts w:asciiTheme="minorHAnsi" w:hAnsiTheme="minorHAnsi" w:cstheme="minorHAnsi"/>
                <w:sz w:val="22"/>
              </w:rPr>
              <w:t>entre différents niveaux de résultat</w:t>
            </w:r>
            <w:r w:rsidR="00B874FB" w:rsidRPr="00FB168D">
              <w:rPr>
                <w:rFonts w:asciiTheme="minorHAnsi" w:hAnsiTheme="minorHAnsi" w:cstheme="minorHAnsi"/>
                <w:sz w:val="22"/>
              </w:rPr>
              <w:t>s</w:t>
            </w:r>
            <w:r w:rsidR="009A6D30" w:rsidRPr="00FB168D">
              <w:rPr>
                <w:rFonts w:asciiTheme="minorHAnsi" w:hAnsiTheme="minorHAnsi" w:cstheme="minorHAnsi"/>
                <w:sz w:val="22"/>
              </w:rPr>
              <w:t xml:space="preserve"> </w:t>
            </w:r>
            <w:r w:rsidRPr="001341F4">
              <w:rPr>
                <w:rFonts w:asciiTheme="minorHAnsi" w:hAnsiTheme="minorHAnsi" w:cstheme="minorHAnsi"/>
                <w:sz w:val="22"/>
              </w:rPr>
              <w:t>du cadre logique</w:t>
            </w:r>
          </w:p>
          <w:p w14:paraId="47A0365D" w14:textId="03EB2945" w:rsidR="001341F4" w:rsidRPr="001341F4" w:rsidRDefault="00B874FB" w:rsidP="001D7A9A">
            <w:pPr>
              <w:pStyle w:val="Listbullets"/>
              <w:numPr>
                <w:ilvl w:val="0"/>
                <w:numId w:val="15"/>
              </w:numPr>
              <w:spacing w:line="276" w:lineRule="auto"/>
              <w:ind w:left="236" w:hanging="236"/>
              <w:jc w:val="both"/>
              <w:rPr>
                <w:rFonts w:asciiTheme="minorHAnsi" w:hAnsiTheme="minorHAnsi" w:cstheme="minorHAnsi"/>
                <w:sz w:val="22"/>
              </w:rPr>
            </w:pPr>
            <w:r w:rsidRPr="00FB168D">
              <w:rPr>
                <w:rFonts w:asciiTheme="minorHAnsi" w:hAnsiTheme="minorHAnsi" w:cstheme="minorHAnsi"/>
                <w:sz w:val="22"/>
              </w:rPr>
              <w:t>Caractère SMART</w:t>
            </w:r>
            <w:r w:rsidR="001341F4" w:rsidRPr="001341F4">
              <w:rPr>
                <w:rFonts w:asciiTheme="minorHAnsi" w:hAnsiTheme="minorHAnsi" w:cstheme="minorHAnsi"/>
                <w:sz w:val="22"/>
              </w:rPr>
              <w:t xml:space="preserve"> des indicateurs</w:t>
            </w:r>
          </w:p>
        </w:tc>
      </w:tr>
      <w:tr w:rsidR="00FB168D" w:rsidRPr="00FB168D" w14:paraId="5EA08922" w14:textId="77777777" w:rsidTr="00A95FC6">
        <w:tc>
          <w:tcPr>
            <w:tcW w:w="1980" w:type="dxa"/>
            <w:hideMark/>
          </w:tcPr>
          <w:p w14:paraId="3BC8BD86" w14:textId="77777777" w:rsidR="001341F4" w:rsidRPr="001341F4" w:rsidRDefault="001341F4" w:rsidP="001341F4">
            <w:pPr>
              <w:pStyle w:val="Listbullets"/>
              <w:numPr>
                <w:ilvl w:val="0"/>
                <w:numId w:val="0"/>
              </w:numPr>
              <w:spacing w:line="276" w:lineRule="auto"/>
              <w:jc w:val="both"/>
              <w:rPr>
                <w:rFonts w:asciiTheme="minorHAnsi" w:hAnsiTheme="minorHAnsi" w:cstheme="minorHAnsi"/>
                <w:sz w:val="22"/>
              </w:rPr>
            </w:pPr>
            <w:r w:rsidRPr="001341F4">
              <w:rPr>
                <w:rFonts w:asciiTheme="minorHAnsi" w:hAnsiTheme="minorHAnsi" w:cstheme="minorHAnsi"/>
                <w:sz w:val="22"/>
              </w:rPr>
              <w:t>Base de données issue de la collecte (Fichier Excel)</w:t>
            </w:r>
          </w:p>
        </w:tc>
        <w:tc>
          <w:tcPr>
            <w:tcW w:w="3118" w:type="dxa"/>
            <w:hideMark/>
          </w:tcPr>
          <w:p w14:paraId="1F1B8730" w14:textId="5D38A4DB" w:rsidR="001341F4" w:rsidRPr="001341F4" w:rsidRDefault="006B2CDC" w:rsidP="001D7A9A">
            <w:pPr>
              <w:pStyle w:val="Listbullets"/>
              <w:numPr>
                <w:ilvl w:val="0"/>
                <w:numId w:val="15"/>
              </w:numPr>
              <w:spacing w:line="276" w:lineRule="auto"/>
              <w:ind w:left="236" w:hanging="236"/>
              <w:jc w:val="both"/>
              <w:rPr>
                <w:rFonts w:asciiTheme="minorHAnsi" w:hAnsiTheme="minorHAnsi" w:cstheme="minorHAnsi"/>
                <w:sz w:val="22"/>
              </w:rPr>
            </w:pPr>
            <w:r w:rsidRPr="00FB168D">
              <w:rPr>
                <w:rFonts w:asciiTheme="minorHAnsi" w:hAnsiTheme="minorHAnsi" w:cstheme="minorHAnsi"/>
                <w:sz w:val="22"/>
              </w:rPr>
              <w:t xml:space="preserve">Fichier Excel </w:t>
            </w:r>
            <w:r w:rsidR="001341F4" w:rsidRPr="001341F4">
              <w:rPr>
                <w:rFonts w:asciiTheme="minorHAnsi" w:hAnsiTheme="minorHAnsi" w:cstheme="minorHAnsi"/>
                <w:sz w:val="22"/>
              </w:rPr>
              <w:t>de données complet et nettoyé</w:t>
            </w:r>
          </w:p>
        </w:tc>
        <w:tc>
          <w:tcPr>
            <w:tcW w:w="0" w:type="auto"/>
            <w:hideMark/>
          </w:tcPr>
          <w:p w14:paraId="7E1DF72E" w14:textId="2312127B" w:rsidR="001341F4" w:rsidRPr="001341F4" w:rsidRDefault="001341F4" w:rsidP="001D7A9A">
            <w:pPr>
              <w:pStyle w:val="Listbullets"/>
              <w:numPr>
                <w:ilvl w:val="0"/>
                <w:numId w:val="15"/>
              </w:numPr>
              <w:spacing w:line="276" w:lineRule="auto"/>
              <w:ind w:left="236" w:hanging="236"/>
              <w:jc w:val="both"/>
              <w:rPr>
                <w:rFonts w:asciiTheme="minorHAnsi" w:hAnsiTheme="minorHAnsi" w:cstheme="minorHAnsi"/>
                <w:sz w:val="22"/>
              </w:rPr>
            </w:pPr>
            <w:r w:rsidRPr="001341F4">
              <w:rPr>
                <w:rFonts w:asciiTheme="minorHAnsi" w:hAnsiTheme="minorHAnsi" w:cstheme="minorHAnsi"/>
                <w:sz w:val="22"/>
              </w:rPr>
              <w:t>Exactitude et exhaustivité des données</w:t>
            </w:r>
          </w:p>
        </w:tc>
      </w:tr>
    </w:tbl>
    <w:p w14:paraId="4D340E28" w14:textId="326AF7EE" w:rsidR="005265DE" w:rsidRPr="00FB168D" w:rsidRDefault="005265DE" w:rsidP="005265DE">
      <w:pPr>
        <w:pStyle w:val="Heading1"/>
        <w:rPr>
          <w:rFonts w:asciiTheme="minorHAnsi" w:hAnsiTheme="minorHAnsi" w:cstheme="minorHAnsi"/>
        </w:rPr>
      </w:pPr>
      <w:r w:rsidRPr="00FB168D">
        <w:rPr>
          <w:rFonts w:asciiTheme="minorHAnsi" w:hAnsiTheme="minorHAnsi" w:cstheme="minorHAnsi"/>
        </w:rPr>
        <w:t xml:space="preserve">Profil des consultants </w:t>
      </w:r>
    </w:p>
    <w:p w14:paraId="12FB6E5A" w14:textId="6874FE2F" w:rsidR="00F476D8" w:rsidRPr="00FB168D" w:rsidRDefault="00F476D8" w:rsidP="00F476D8">
      <w:pPr>
        <w:spacing w:before="100" w:beforeAutospacing="1" w:after="100" w:afterAutospacing="1"/>
        <w:jc w:val="both"/>
        <w:rPr>
          <w:rFonts w:cstheme="minorHAnsi"/>
          <w:sz w:val="22"/>
          <w:szCs w:val="22"/>
        </w:rPr>
      </w:pPr>
      <w:r w:rsidRPr="00FB168D">
        <w:rPr>
          <w:rFonts w:cstheme="minorHAnsi"/>
          <w:sz w:val="22"/>
          <w:szCs w:val="22"/>
        </w:rPr>
        <w:t>La mission sera réalisée par un</w:t>
      </w:r>
      <w:r w:rsidR="005265DE" w:rsidRPr="00FB168D">
        <w:rPr>
          <w:rFonts w:cstheme="minorHAnsi"/>
          <w:sz w:val="22"/>
          <w:szCs w:val="22"/>
        </w:rPr>
        <w:t xml:space="preserve">e équipe de </w:t>
      </w:r>
      <w:r w:rsidR="004D47FD" w:rsidRPr="00FB168D">
        <w:rPr>
          <w:rFonts w:cstheme="minorHAnsi"/>
          <w:sz w:val="22"/>
          <w:szCs w:val="22"/>
        </w:rPr>
        <w:t xml:space="preserve">consultants nationaux </w:t>
      </w:r>
      <w:r w:rsidRPr="00FB168D">
        <w:rPr>
          <w:rFonts w:cstheme="minorHAnsi"/>
          <w:sz w:val="22"/>
          <w:szCs w:val="22"/>
        </w:rPr>
        <w:t xml:space="preserve">qui proposera </w:t>
      </w:r>
      <w:r w:rsidR="004D47FD" w:rsidRPr="00FB168D">
        <w:rPr>
          <w:rFonts w:cstheme="minorHAnsi"/>
          <w:sz w:val="22"/>
          <w:szCs w:val="22"/>
        </w:rPr>
        <w:t>au moins 02</w:t>
      </w:r>
      <w:r w:rsidRPr="00FB168D">
        <w:rPr>
          <w:rFonts w:cstheme="minorHAnsi"/>
          <w:sz w:val="22"/>
          <w:szCs w:val="22"/>
        </w:rPr>
        <w:t xml:space="preserve"> experts dont un expert </w:t>
      </w:r>
      <w:r w:rsidR="004D47FD" w:rsidRPr="00FB168D">
        <w:rPr>
          <w:rFonts w:cstheme="minorHAnsi"/>
          <w:sz w:val="22"/>
          <w:szCs w:val="22"/>
        </w:rPr>
        <w:t>Chef de mission</w:t>
      </w:r>
      <w:r w:rsidRPr="00FB168D">
        <w:rPr>
          <w:rFonts w:cstheme="minorHAnsi"/>
          <w:sz w:val="22"/>
          <w:szCs w:val="22"/>
        </w:rPr>
        <w:t xml:space="preserve"> assisté par un expert</w:t>
      </w:r>
      <w:r w:rsidR="001D7A9A" w:rsidRPr="00FB168D">
        <w:rPr>
          <w:rFonts w:cstheme="minorHAnsi"/>
          <w:sz w:val="22"/>
          <w:szCs w:val="22"/>
        </w:rPr>
        <w:t xml:space="preserve"> en </w:t>
      </w:r>
      <w:r w:rsidR="00D46B86" w:rsidRPr="00FB168D">
        <w:rPr>
          <w:rFonts w:cstheme="minorHAnsi"/>
          <w:sz w:val="22"/>
          <w:szCs w:val="22"/>
        </w:rPr>
        <w:t>communication pour le changement de c</w:t>
      </w:r>
      <w:r w:rsidR="001D7A9A" w:rsidRPr="00FB168D">
        <w:rPr>
          <w:rFonts w:cstheme="minorHAnsi"/>
          <w:sz w:val="22"/>
          <w:szCs w:val="22"/>
        </w:rPr>
        <w:t>omportement</w:t>
      </w:r>
      <w:r w:rsidR="00D46B86" w:rsidRPr="00FB168D">
        <w:rPr>
          <w:rFonts w:cstheme="minorHAnsi"/>
          <w:sz w:val="22"/>
          <w:szCs w:val="22"/>
        </w:rPr>
        <w:t xml:space="preserve">. </w:t>
      </w:r>
    </w:p>
    <w:p w14:paraId="3C08B880" w14:textId="0F6E45CA" w:rsidR="00D46B86" w:rsidRPr="00FB168D" w:rsidRDefault="00D46B86" w:rsidP="00D46B86">
      <w:pPr>
        <w:widowControl w:val="0"/>
        <w:suppressAutoHyphens/>
        <w:spacing w:line="240" w:lineRule="auto"/>
        <w:rPr>
          <w:rFonts w:eastAsia="Times New Roman" w:cstheme="minorHAnsi"/>
          <w:snapToGrid w:val="0"/>
          <w:kern w:val="1"/>
          <w:sz w:val="22"/>
          <w:szCs w:val="22"/>
        </w:rPr>
      </w:pPr>
      <w:r w:rsidRPr="00FB168D">
        <w:rPr>
          <w:rFonts w:eastAsia="Times New Roman" w:cstheme="minorHAnsi"/>
          <w:b/>
          <w:bCs/>
          <w:snapToGrid w:val="0"/>
          <w:kern w:val="1"/>
          <w:sz w:val="22"/>
          <w:szCs w:val="22"/>
        </w:rPr>
        <w:t xml:space="preserve">Un (1) Expert en évaluation des </w:t>
      </w:r>
      <w:r w:rsidR="00AA105C" w:rsidRPr="00FB168D">
        <w:rPr>
          <w:rFonts w:eastAsia="Times New Roman" w:cstheme="minorHAnsi"/>
          <w:b/>
          <w:bCs/>
          <w:snapToGrid w:val="0"/>
          <w:kern w:val="1"/>
          <w:sz w:val="22"/>
          <w:szCs w:val="22"/>
        </w:rPr>
        <w:t xml:space="preserve">interventions </w:t>
      </w:r>
      <w:r w:rsidRPr="00FB168D">
        <w:rPr>
          <w:rFonts w:eastAsia="Times New Roman" w:cstheme="minorHAnsi"/>
          <w:b/>
          <w:bCs/>
          <w:snapToGrid w:val="0"/>
          <w:kern w:val="1"/>
          <w:sz w:val="22"/>
          <w:szCs w:val="22"/>
        </w:rPr>
        <w:t xml:space="preserve">de développement </w:t>
      </w:r>
      <w:r w:rsidR="00FC2784" w:rsidRPr="00FB168D">
        <w:rPr>
          <w:rFonts w:eastAsia="Times New Roman" w:cstheme="minorHAnsi"/>
          <w:b/>
          <w:bCs/>
          <w:snapToGrid w:val="0"/>
          <w:kern w:val="1"/>
          <w:sz w:val="22"/>
          <w:szCs w:val="22"/>
        </w:rPr>
        <w:t xml:space="preserve">durable </w:t>
      </w:r>
      <w:r w:rsidRPr="00FB168D">
        <w:rPr>
          <w:rFonts w:eastAsia="Times New Roman" w:cstheme="minorHAnsi"/>
          <w:b/>
          <w:bCs/>
          <w:snapToGrid w:val="0"/>
          <w:kern w:val="1"/>
          <w:sz w:val="22"/>
          <w:szCs w:val="22"/>
        </w:rPr>
        <w:t xml:space="preserve">(chef de mission) </w:t>
      </w:r>
      <w:r w:rsidRPr="00FB168D">
        <w:rPr>
          <w:rFonts w:eastAsia="Times New Roman" w:cstheme="minorHAnsi"/>
          <w:snapToGrid w:val="0"/>
          <w:kern w:val="1"/>
          <w:sz w:val="22"/>
          <w:szCs w:val="22"/>
        </w:rPr>
        <w:t xml:space="preserve">qui doit avoir : </w:t>
      </w:r>
    </w:p>
    <w:p w14:paraId="735AD51E" w14:textId="32A15DE7" w:rsidR="009B70EC" w:rsidRPr="00FB168D" w:rsidRDefault="00D46B86" w:rsidP="008035D6">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t xml:space="preserve">Un niveau maitrise, Master ou doctorat en </w:t>
      </w:r>
      <w:r w:rsidRPr="00FB168D">
        <w:rPr>
          <w:rFonts w:eastAsia="Times New Roman" w:cstheme="minorHAnsi"/>
          <w:snapToGrid w:val="0"/>
          <w:kern w:val="1"/>
          <w:sz w:val="22"/>
          <w:szCs w:val="22"/>
          <w:lang w:eastAsia="de-DE"/>
        </w:rPr>
        <w:t xml:space="preserve">sociologie, planification, </w:t>
      </w:r>
      <w:r w:rsidRPr="00FB168D">
        <w:rPr>
          <w:rFonts w:eastAsia="Times New Roman" w:cstheme="minorHAnsi"/>
          <w:snapToGrid w:val="0"/>
          <w:kern w:val="1"/>
          <w:sz w:val="22"/>
          <w:szCs w:val="22"/>
        </w:rPr>
        <w:t xml:space="preserve">administration des collectivités, économie du développement, </w:t>
      </w:r>
      <w:r w:rsidR="002B7EEE" w:rsidRPr="00FB168D">
        <w:rPr>
          <w:rFonts w:eastAsia="Times New Roman" w:cstheme="minorHAnsi"/>
          <w:snapToGrid w:val="0"/>
          <w:kern w:val="1"/>
          <w:sz w:val="22"/>
          <w:szCs w:val="22"/>
        </w:rPr>
        <w:t>g</w:t>
      </w:r>
      <w:r w:rsidRPr="00FB168D">
        <w:rPr>
          <w:rFonts w:eastAsia="Times New Roman" w:cstheme="minorHAnsi"/>
          <w:snapToGrid w:val="0"/>
          <w:kern w:val="1"/>
          <w:sz w:val="22"/>
          <w:szCs w:val="22"/>
        </w:rPr>
        <w:t xml:space="preserve">estion de projets ou discipline équivalente, avec un accent sur </w:t>
      </w:r>
      <w:r w:rsidR="003B5E0B" w:rsidRPr="00FB168D">
        <w:rPr>
          <w:rFonts w:eastAsia="Times New Roman" w:cstheme="minorHAnsi"/>
          <w:snapToGrid w:val="0"/>
          <w:kern w:val="1"/>
          <w:sz w:val="22"/>
          <w:szCs w:val="22"/>
        </w:rPr>
        <w:t xml:space="preserve">la </w:t>
      </w:r>
      <w:r w:rsidR="009B70EC" w:rsidRPr="00FB168D">
        <w:rPr>
          <w:rFonts w:eastAsia="Times New Roman" w:cstheme="minorHAnsi"/>
          <w:snapToGrid w:val="0"/>
          <w:kern w:val="1"/>
          <w:sz w:val="22"/>
          <w:szCs w:val="22"/>
        </w:rPr>
        <w:t>promotion</w:t>
      </w:r>
      <w:r w:rsidR="003B5E0B" w:rsidRPr="00FB168D">
        <w:rPr>
          <w:rFonts w:eastAsia="Times New Roman" w:cstheme="minorHAnsi"/>
          <w:snapToGrid w:val="0"/>
          <w:kern w:val="1"/>
          <w:sz w:val="22"/>
          <w:szCs w:val="22"/>
        </w:rPr>
        <w:t xml:space="preserve"> et l’</w:t>
      </w:r>
      <w:r w:rsidR="009B70EC" w:rsidRPr="00FB168D">
        <w:rPr>
          <w:rFonts w:eastAsia="Times New Roman" w:cstheme="minorHAnsi"/>
          <w:snapToGrid w:val="0"/>
          <w:kern w:val="1"/>
          <w:sz w:val="22"/>
          <w:szCs w:val="22"/>
        </w:rPr>
        <w:t>adoption</w:t>
      </w:r>
      <w:r w:rsidR="003B5E0B" w:rsidRPr="00FB168D">
        <w:rPr>
          <w:rFonts w:eastAsia="Times New Roman" w:cstheme="minorHAnsi"/>
          <w:snapToGrid w:val="0"/>
          <w:kern w:val="1"/>
          <w:sz w:val="22"/>
          <w:szCs w:val="22"/>
        </w:rPr>
        <w:t xml:space="preserve"> des</w:t>
      </w:r>
      <w:r w:rsidR="009B70EC" w:rsidRPr="00FB168D">
        <w:rPr>
          <w:rFonts w:eastAsia="Times New Roman" w:cstheme="minorHAnsi"/>
          <w:snapToGrid w:val="0"/>
          <w:kern w:val="1"/>
          <w:sz w:val="22"/>
          <w:szCs w:val="22"/>
        </w:rPr>
        <w:t xml:space="preserve"> pratiques et comportements </w:t>
      </w:r>
      <w:r w:rsidR="001725D4" w:rsidRPr="00FB168D">
        <w:rPr>
          <w:rFonts w:eastAsia="Times New Roman" w:cstheme="minorHAnsi"/>
          <w:snapToGrid w:val="0"/>
          <w:kern w:val="1"/>
          <w:sz w:val="22"/>
          <w:szCs w:val="22"/>
        </w:rPr>
        <w:t xml:space="preserve">d’adaptation aux changements climatiques </w:t>
      </w:r>
      <w:r w:rsidR="009B70EC" w:rsidRPr="00FB168D">
        <w:rPr>
          <w:rFonts w:eastAsia="Times New Roman" w:cstheme="minorHAnsi"/>
          <w:snapToGrid w:val="0"/>
          <w:kern w:val="1"/>
          <w:sz w:val="22"/>
          <w:szCs w:val="22"/>
        </w:rPr>
        <w:t>;</w:t>
      </w:r>
    </w:p>
    <w:p w14:paraId="7D95FF9D" w14:textId="708B3033" w:rsidR="00173F7E" w:rsidRPr="00FB168D" w:rsidRDefault="00D46B86" w:rsidP="0019031C">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t xml:space="preserve">Au moins </w:t>
      </w:r>
      <w:r w:rsidR="00BD00D3" w:rsidRPr="00FB168D">
        <w:rPr>
          <w:rFonts w:eastAsia="Times New Roman" w:cstheme="minorHAnsi"/>
          <w:snapToGrid w:val="0"/>
          <w:kern w:val="1"/>
          <w:sz w:val="22"/>
          <w:szCs w:val="22"/>
        </w:rPr>
        <w:t>0</w:t>
      </w:r>
      <w:r w:rsidR="00173F7E" w:rsidRPr="00FB168D">
        <w:rPr>
          <w:rFonts w:eastAsia="Times New Roman" w:cstheme="minorHAnsi"/>
          <w:snapToGrid w:val="0"/>
          <w:kern w:val="1"/>
          <w:sz w:val="22"/>
          <w:szCs w:val="22"/>
        </w:rPr>
        <w:t>8</w:t>
      </w:r>
      <w:r w:rsidRPr="00FB168D">
        <w:rPr>
          <w:rFonts w:eastAsia="Times New Roman" w:cstheme="minorHAnsi"/>
          <w:snapToGrid w:val="0"/>
          <w:kern w:val="1"/>
          <w:sz w:val="22"/>
          <w:szCs w:val="22"/>
        </w:rPr>
        <w:t xml:space="preserve"> ans </w:t>
      </w:r>
      <w:r w:rsidR="007014DD" w:rsidRPr="00FB168D">
        <w:rPr>
          <w:rFonts w:eastAsia="Times New Roman" w:cstheme="minorHAnsi"/>
          <w:snapToGrid w:val="0"/>
          <w:kern w:val="1"/>
          <w:sz w:val="22"/>
          <w:szCs w:val="22"/>
        </w:rPr>
        <w:t>d’expérience confirmée dans la conception et la conduite d’études de base et d’évaluations de projets,</w:t>
      </w:r>
      <w:r w:rsidR="00173F7E" w:rsidRPr="00FB168D">
        <w:rPr>
          <w:rFonts w:eastAsia="Times New Roman" w:cstheme="minorHAnsi"/>
          <w:snapToGrid w:val="0"/>
          <w:kern w:val="1"/>
          <w:sz w:val="22"/>
          <w:szCs w:val="22"/>
        </w:rPr>
        <w:t xml:space="preserve"> </w:t>
      </w:r>
      <w:r w:rsidRPr="00FB168D">
        <w:rPr>
          <w:rFonts w:eastAsia="Times New Roman" w:cstheme="minorHAnsi"/>
          <w:snapToGrid w:val="0"/>
          <w:kern w:val="1"/>
          <w:sz w:val="22"/>
          <w:szCs w:val="22"/>
        </w:rPr>
        <w:t xml:space="preserve">dont </w:t>
      </w:r>
      <w:r w:rsidR="00BD00D3" w:rsidRPr="00FB168D">
        <w:rPr>
          <w:rFonts w:eastAsia="Times New Roman" w:cstheme="minorHAnsi"/>
          <w:snapToGrid w:val="0"/>
          <w:kern w:val="1"/>
          <w:sz w:val="22"/>
          <w:szCs w:val="22"/>
        </w:rPr>
        <w:t>0</w:t>
      </w:r>
      <w:r w:rsidR="00173F7E" w:rsidRPr="00FB168D">
        <w:rPr>
          <w:rFonts w:eastAsia="Times New Roman" w:cstheme="minorHAnsi"/>
          <w:snapToGrid w:val="0"/>
          <w:kern w:val="1"/>
          <w:sz w:val="22"/>
          <w:szCs w:val="22"/>
        </w:rPr>
        <w:t>4</w:t>
      </w:r>
      <w:r w:rsidRPr="00FB168D">
        <w:rPr>
          <w:rFonts w:eastAsia="Times New Roman" w:cstheme="minorHAnsi"/>
          <w:snapToGrid w:val="0"/>
          <w:kern w:val="1"/>
          <w:sz w:val="22"/>
          <w:szCs w:val="22"/>
        </w:rPr>
        <w:t xml:space="preserve"> ans sur des projets </w:t>
      </w:r>
      <w:r w:rsidR="00B928F7" w:rsidRPr="00FB168D">
        <w:rPr>
          <w:rFonts w:eastAsia="Times New Roman" w:cstheme="minorHAnsi"/>
          <w:snapToGrid w:val="0"/>
          <w:kern w:val="1"/>
          <w:sz w:val="22"/>
          <w:szCs w:val="22"/>
        </w:rPr>
        <w:t xml:space="preserve">de promotion et d’adoption des </w:t>
      </w:r>
      <w:r w:rsidR="008258FA" w:rsidRPr="00FB168D">
        <w:rPr>
          <w:rFonts w:eastAsia="Times New Roman" w:cstheme="minorHAnsi"/>
          <w:snapToGrid w:val="0"/>
          <w:kern w:val="1"/>
          <w:sz w:val="22"/>
          <w:szCs w:val="22"/>
        </w:rPr>
        <w:t xml:space="preserve">comportements et </w:t>
      </w:r>
      <w:r w:rsidR="00B928F7" w:rsidRPr="00FB168D">
        <w:rPr>
          <w:rFonts w:eastAsia="Times New Roman" w:cstheme="minorHAnsi"/>
          <w:snapToGrid w:val="0"/>
          <w:kern w:val="1"/>
          <w:sz w:val="22"/>
          <w:szCs w:val="22"/>
        </w:rPr>
        <w:t xml:space="preserve">pratiques </w:t>
      </w:r>
      <w:r w:rsidR="00D932B2" w:rsidRPr="00FB168D">
        <w:rPr>
          <w:rFonts w:eastAsia="Times New Roman" w:cstheme="minorHAnsi"/>
          <w:snapToGrid w:val="0"/>
          <w:kern w:val="1"/>
          <w:sz w:val="22"/>
          <w:szCs w:val="22"/>
        </w:rPr>
        <w:t>d</w:t>
      </w:r>
      <w:r w:rsidR="008258FA" w:rsidRPr="00FB168D">
        <w:rPr>
          <w:rFonts w:eastAsia="Times New Roman" w:cstheme="minorHAnsi"/>
          <w:snapToGrid w:val="0"/>
          <w:kern w:val="1"/>
          <w:sz w:val="22"/>
          <w:szCs w:val="22"/>
        </w:rPr>
        <w:t xml:space="preserve">ans le </w:t>
      </w:r>
      <w:r w:rsidR="00173F7E" w:rsidRPr="00FB168D">
        <w:rPr>
          <w:rFonts w:eastAsia="Times New Roman" w:cstheme="minorHAnsi"/>
          <w:snapToGrid w:val="0"/>
          <w:kern w:val="1"/>
          <w:sz w:val="22"/>
          <w:szCs w:val="22"/>
        </w:rPr>
        <w:t>secteur de la cuisson propre</w:t>
      </w:r>
      <w:r w:rsidR="00AA124E" w:rsidRPr="00FB168D">
        <w:rPr>
          <w:rFonts w:eastAsia="Times New Roman" w:cstheme="minorHAnsi"/>
          <w:snapToGrid w:val="0"/>
          <w:kern w:val="1"/>
          <w:sz w:val="22"/>
          <w:szCs w:val="22"/>
        </w:rPr>
        <w:t xml:space="preserve"> ou</w:t>
      </w:r>
      <w:r w:rsidR="00D932B2" w:rsidRPr="00FB168D">
        <w:rPr>
          <w:rFonts w:eastAsia="Times New Roman" w:cstheme="minorHAnsi"/>
          <w:snapToGrid w:val="0"/>
          <w:kern w:val="1"/>
          <w:sz w:val="22"/>
          <w:szCs w:val="22"/>
        </w:rPr>
        <w:t xml:space="preserve"> </w:t>
      </w:r>
      <w:r w:rsidR="00173F7E" w:rsidRPr="00FB168D">
        <w:rPr>
          <w:rFonts w:eastAsia="Times New Roman" w:cstheme="minorHAnsi"/>
          <w:snapToGrid w:val="0"/>
          <w:kern w:val="1"/>
          <w:sz w:val="22"/>
          <w:szCs w:val="22"/>
        </w:rPr>
        <w:t>de l’énergie domestique</w:t>
      </w:r>
      <w:r w:rsidR="00AA124E" w:rsidRPr="00FB168D">
        <w:rPr>
          <w:rFonts w:eastAsia="Times New Roman" w:cstheme="minorHAnsi"/>
          <w:snapToGrid w:val="0"/>
          <w:kern w:val="1"/>
          <w:sz w:val="22"/>
          <w:szCs w:val="22"/>
        </w:rPr>
        <w:t> ;</w:t>
      </w:r>
    </w:p>
    <w:p w14:paraId="6808D871" w14:textId="2D207584" w:rsidR="00D46B86" w:rsidRPr="00FB168D" w:rsidRDefault="000F28E6" w:rsidP="000F28E6">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t>Au moins 02 missions similaires réalisées au Mali au cours des 5 dernières années</w:t>
      </w:r>
      <w:r w:rsidR="00D46B86" w:rsidRPr="00FB168D">
        <w:rPr>
          <w:rFonts w:eastAsia="Times New Roman" w:cstheme="minorHAnsi"/>
          <w:snapToGrid w:val="0"/>
          <w:kern w:val="1"/>
          <w:sz w:val="22"/>
          <w:szCs w:val="22"/>
        </w:rPr>
        <w:t>, idéalement financé</w:t>
      </w:r>
      <w:r w:rsidR="00641526" w:rsidRPr="00FB168D">
        <w:rPr>
          <w:rFonts w:eastAsia="Times New Roman" w:cstheme="minorHAnsi"/>
          <w:snapToGrid w:val="0"/>
          <w:kern w:val="1"/>
          <w:sz w:val="22"/>
          <w:szCs w:val="22"/>
        </w:rPr>
        <w:t>e</w:t>
      </w:r>
      <w:r w:rsidR="00D46B86" w:rsidRPr="00FB168D">
        <w:rPr>
          <w:rFonts w:eastAsia="Times New Roman" w:cstheme="minorHAnsi"/>
          <w:snapToGrid w:val="0"/>
          <w:kern w:val="1"/>
          <w:sz w:val="22"/>
          <w:szCs w:val="22"/>
        </w:rPr>
        <w:t xml:space="preserve">s par la coopération néerlandaise (DGIS) ou </w:t>
      </w:r>
      <w:r w:rsidR="00A8092E">
        <w:rPr>
          <w:rFonts w:eastAsia="Times New Roman" w:cstheme="minorHAnsi"/>
          <w:snapToGrid w:val="0"/>
          <w:kern w:val="1"/>
          <w:sz w:val="22"/>
          <w:szCs w:val="22"/>
        </w:rPr>
        <w:t xml:space="preserve">autres </w:t>
      </w:r>
      <w:r w:rsidR="00F76A57" w:rsidRPr="00FB168D">
        <w:rPr>
          <w:rFonts w:eastAsia="Times New Roman" w:cstheme="minorHAnsi"/>
          <w:snapToGrid w:val="0"/>
          <w:kern w:val="1"/>
          <w:sz w:val="22"/>
          <w:szCs w:val="22"/>
        </w:rPr>
        <w:t xml:space="preserve">organisations </w:t>
      </w:r>
      <w:r w:rsidR="00D46B86" w:rsidRPr="00FB168D">
        <w:rPr>
          <w:rFonts w:eastAsia="Times New Roman" w:cstheme="minorHAnsi"/>
          <w:snapToGrid w:val="0"/>
          <w:kern w:val="1"/>
          <w:sz w:val="22"/>
          <w:szCs w:val="22"/>
        </w:rPr>
        <w:t>similaires</w:t>
      </w:r>
      <w:r w:rsidR="00332B5E" w:rsidRPr="00FB168D">
        <w:rPr>
          <w:rFonts w:eastAsia="Times New Roman" w:cstheme="minorHAnsi"/>
          <w:snapToGrid w:val="0"/>
          <w:kern w:val="1"/>
          <w:sz w:val="22"/>
          <w:szCs w:val="22"/>
        </w:rPr>
        <w:t> ;</w:t>
      </w:r>
    </w:p>
    <w:p w14:paraId="471A725E" w14:textId="77777777" w:rsidR="005634AD" w:rsidRPr="00FB168D" w:rsidRDefault="005634AD" w:rsidP="00D46B86">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t>Maîtrise des méthodes quantitatives et qualitatives (enquêtes ménages, focus groups, entretiens semi-directifs, observation participative) ;</w:t>
      </w:r>
    </w:p>
    <w:p w14:paraId="36644370" w14:textId="03BB64E6" w:rsidR="00D46B86" w:rsidRPr="00FB168D" w:rsidRDefault="00D46B86" w:rsidP="00D46B86">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t xml:space="preserve">Maîtrise des méthodologies et approches SNV (Théorie du changement, Approche </w:t>
      </w:r>
      <w:r w:rsidR="0044189E" w:rsidRPr="00FB168D">
        <w:rPr>
          <w:rFonts w:eastAsia="Times New Roman" w:cstheme="minorHAnsi"/>
          <w:snapToGrid w:val="0"/>
          <w:kern w:val="1"/>
          <w:sz w:val="22"/>
          <w:szCs w:val="22"/>
        </w:rPr>
        <w:t xml:space="preserve">communautaire et </w:t>
      </w:r>
      <w:r w:rsidRPr="00FB168D">
        <w:rPr>
          <w:rFonts w:eastAsia="Times New Roman" w:cstheme="minorHAnsi"/>
          <w:snapToGrid w:val="0"/>
          <w:kern w:val="1"/>
          <w:sz w:val="22"/>
          <w:szCs w:val="22"/>
        </w:rPr>
        <w:t>autres approches transversales) et des systèmes de S&amp;E adaptés aux enjeux climatiques et de genre</w:t>
      </w:r>
      <w:r w:rsidR="0044189E" w:rsidRPr="00FB168D">
        <w:rPr>
          <w:rFonts w:eastAsia="Times New Roman" w:cstheme="minorHAnsi"/>
          <w:snapToGrid w:val="0"/>
          <w:kern w:val="1"/>
          <w:sz w:val="22"/>
          <w:szCs w:val="22"/>
        </w:rPr>
        <w:t> ;</w:t>
      </w:r>
    </w:p>
    <w:p w14:paraId="27E54D54" w14:textId="1F328CEA" w:rsidR="006D76C2" w:rsidRPr="00FB168D" w:rsidRDefault="003426E0" w:rsidP="006D76C2">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lastRenderedPageBreak/>
        <w:t>Expérience de travail avec les acteurs clés de l’écosystème d’adaptation aux changements climatiques </w:t>
      </w:r>
      <w:r w:rsidR="006D76C2" w:rsidRPr="00FB168D">
        <w:rPr>
          <w:rFonts w:eastAsia="Times New Roman" w:cstheme="minorHAnsi"/>
          <w:snapToGrid w:val="0"/>
          <w:kern w:val="1"/>
          <w:sz w:val="22"/>
          <w:szCs w:val="22"/>
        </w:rPr>
        <w:t>(cuisson propre ou de l’énergie domestique) ;</w:t>
      </w:r>
    </w:p>
    <w:p w14:paraId="2E259F63" w14:textId="129EF0E5" w:rsidR="00D46B86" w:rsidRPr="00FB168D" w:rsidRDefault="00D46B86" w:rsidP="00D46B86">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t>Solides capacités analytiques et rédactionnelles, avec expérience de rapports synthétiques et recommandations opérationnelles pour bailleurs et partenaires</w:t>
      </w:r>
      <w:r w:rsidR="00E5415C" w:rsidRPr="00FB168D">
        <w:rPr>
          <w:rFonts w:eastAsia="Times New Roman" w:cstheme="minorHAnsi"/>
          <w:snapToGrid w:val="0"/>
          <w:kern w:val="1"/>
          <w:sz w:val="22"/>
          <w:szCs w:val="22"/>
        </w:rPr>
        <w:t> ;</w:t>
      </w:r>
    </w:p>
    <w:p w14:paraId="74605AE6" w14:textId="634FD725" w:rsidR="00D46B86" w:rsidRPr="00FB168D" w:rsidRDefault="00D46B86" w:rsidP="00D46B86">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t>Maîtrise parfaite du français, et aptitude confirmée à conduire des enquêtes qualitatives et ateliers participatifs sur le terrain</w:t>
      </w:r>
      <w:r w:rsidR="00E5415C" w:rsidRPr="00FB168D">
        <w:rPr>
          <w:rFonts w:eastAsia="Times New Roman" w:cstheme="minorHAnsi"/>
          <w:snapToGrid w:val="0"/>
          <w:kern w:val="1"/>
          <w:sz w:val="22"/>
          <w:szCs w:val="22"/>
        </w:rPr>
        <w:t> ;</w:t>
      </w:r>
    </w:p>
    <w:p w14:paraId="08F8C64B" w14:textId="7A9CB93C" w:rsidR="002A4AEB" w:rsidRPr="00FB168D" w:rsidRDefault="00D46B86" w:rsidP="002A4AEB">
      <w:pPr>
        <w:widowControl w:val="0"/>
        <w:numPr>
          <w:ilvl w:val="0"/>
          <w:numId w:val="16"/>
        </w:numPr>
        <w:suppressAutoHyphens/>
        <w:spacing w:line="240" w:lineRule="auto"/>
        <w:ind w:left="360"/>
        <w:contextualSpacing/>
        <w:jc w:val="both"/>
        <w:rPr>
          <w:rFonts w:eastAsia="Times New Roman" w:cstheme="minorHAnsi"/>
          <w:sz w:val="22"/>
          <w:szCs w:val="22"/>
        </w:rPr>
      </w:pPr>
      <w:r w:rsidRPr="00FB168D">
        <w:rPr>
          <w:rFonts w:cstheme="minorHAnsi"/>
          <w:sz w:val="22"/>
          <w:szCs w:val="22"/>
        </w:rPr>
        <w:t xml:space="preserve">La connaissance </w:t>
      </w:r>
      <w:r w:rsidR="00E5415C" w:rsidRPr="00FB168D">
        <w:rPr>
          <w:rFonts w:cstheme="minorHAnsi"/>
          <w:sz w:val="22"/>
          <w:szCs w:val="22"/>
        </w:rPr>
        <w:t xml:space="preserve">du Bambara comme </w:t>
      </w:r>
      <w:r w:rsidRPr="00FB168D">
        <w:rPr>
          <w:rFonts w:cstheme="minorHAnsi"/>
          <w:sz w:val="22"/>
          <w:szCs w:val="22"/>
        </w:rPr>
        <w:t xml:space="preserve">une langue locale </w:t>
      </w:r>
      <w:r w:rsidR="00E5415C" w:rsidRPr="00FB168D">
        <w:rPr>
          <w:rFonts w:cstheme="minorHAnsi"/>
          <w:sz w:val="22"/>
          <w:szCs w:val="22"/>
        </w:rPr>
        <w:t xml:space="preserve">est </w:t>
      </w:r>
      <w:r w:rsidR="00B52C66" w:rsidRPr="00FB168D">
        <w:rPr>
          <w:rFonts w:cstheme="minorHAnsi"/>
          <w:sz w:val="22"/>
          <w:szCs w:val="22"/>
        </w:rPr>
        <w:t xml:space="preserve">un atout majeur. </w:t>
      </w:r>
      <w:r w:rsidRPr="00FB168D">
        <w:rPr>
          <w:rFonts w:cstheme="minorHAnsi"/>
          <w:sz w:val="22"/>
          <w:szCs w:val="22"/>
        </w:rPr>
        <w:t xml:space="preserve"> </w:t>
      </w:r>
    </w:p>
    <w:p w14:paraId="375D4D5E" w14:textId="327DF5AC" w:rsidR="002A4AEB" w:rsidRPr="00FB168D" w:rsidRDefault="002A4AEB" w:rsidP="002A4AEB">
      <w:pPr>
        <w:widowControl w:val="0"/>
        <w:suppressAutoHyphens/>
        <w:spacing w:line="240" w:lineRule="auto"/>
        <w:contextualSpacing/>
        <w:jc w:val="both"/>
        <w:rPr>
          <w:rFonts w:eastAsia="Times New Roman" w:cstheme="minorHAnsi"/>
          <w:sz w:val="22"/>
          <w:szCs w:val="22"/>
        </w:rPr>
      </w:pPr>
    </w:p>
    <w:p w14:paraId="49341A55" w14:textId="330C92F4" w:rsidR="00E57558" w:rsidRPr="00FB168D" w:rsidRDefault="00E57558" w:rsidP="00E57558">
      <w:pPr>
        <w:widowControl w:val="0"/>
        <w:suppressAutoHyphens/>
        <w:spacing w:line="240" w:lineRule="auto"/>
        <w:rPr>
          <w:rFonts w:eastAsia="Times New Roman" w:cstheme="minorHAnsi"/>
          <w:snapToGrid w:val="0"/>
          <w:kern w:val="1"/>
          <w:sz w:val="22"/>
          <w:szCs w:val="22"/>
        </w:rPr>
      </w:pPr>
      <w:r w:rsidRPr="00FB168D">
        <w:rPr>
          <w:rFonts w:eastAsia="Times New Roman" w:cstheme="minorHAnsi"/>
          <w:b/>
          <w:bCs/>
          <w:snapToGrid w:val="0"/>
          <w:kern w:val="1"/>
          <w:sz w:val="22"/>
          <w:szCs w:val="22"/>
        </w:rPr>
        <w:t xml:space="preserve">Un (1) Expert en communication pour </w:t>
      </w:r>
      <w:r w:rsidR="00D04EAB" w:rsidRPr="00FB168D">
        <w:rPr>
          <w:rFonts w:eastAsia="Times New Roman" w:cstheme="minorHAnsi"/>
          <w:b/>
          <w:bCs/>
          <w:snapToGrid w:val="0"/>
          <w:kern w:val="1"/>
          <w:sz w:val="22"/>
          <w:szCs w:val="22"/>
        </w:rPr>
        <w:t xml:space="preserve">le changement, </w:t>
      </w:r>
      <w:r w:rsidRPr="00FB168D">
        <w:rPr>
          <w:rFonts w:eastAsia="Times New Roman" w:cstheme="minorHAnsi"/>
          <w:b/>
          <w:bCs/>
          <w:snapToGrid w:val="0"/>
          <w:kern w:val="1"/>
          <w:sz w:val="22"/>
          <w:szCs w:val="22"/>
        </w:rPr>
        <w:t xml:space="preserve">mobilisation communautaire </w:t>
      </w:r>
      <w:r w:rsidRPr="00FB168D">
        <w:rPr>
          <w:rFonts w:eastAsia="Times New Roman" w:cstheme="minorHAnsi"/>
          <w:snapToGrid w:val="0"/>
          <w:kern w:val="1"/>
          <w:sz w:val="22"/>
          <w:szCs w:val="22"/>
        </w:rPr>
        <w:t xml:space="preserve">qui doit </w:t>
      </w:r>
      <w:r w:rsidR="00673392" w:rsidRPr="00FB168D">
        <w:rPr>
          <w:rFonts w:eastAsia="Times New Roman" w:cstheme="minorHAnsi"/>
          <w:snapToGrid w:val="0"/>
          <w:kern w:val="1"/>
          <w:sz w:val="22"/>
          <w:szCs w:val="22"/>
        </w:rPr>
        <w:t xml:space="preserve">avoir </w:t>
      </w:r>
      <w:r w:rsidRPr="00FB168D">
        <w:rPr>
          <w:rFonts w:eastAsia="Times New Roman" w:cstheme="minorHAnsi"/>
          <w:snapToGrid w:val="0"/>
          <w:kern w:val="1"/>
          <w:sz w:val="22"/>
          <w:szCs w:val="22"/>
        </w:rPr>
        <w:t xml:space="preserve">: </w:t>
      </w:r>
    </w:p>
    <w:p w14:paraId="1765C728" w14:textId="522CF8B1" w:rsidR="00184FCB" w:rsidRPr="00FB168D" w:rsidRDefault="00673392" w:rsidP="00E57558">
      <w:pPr>
        <w:widowControl w:val="0"/>
        <w:numPr>
          <w:ilvl w:val="0"/>
          <w:numId w:val="16"/>
        </w:numPr>
        <w:suppressAutoHyphens/>
        <w:spacing w:line="240" w:lineRule="auto"/>
        <w:ind w:left="360"/>
        <w:contextualSpacing/>
        <w:jc w:val="both"/>
        <w:rPr>
          <w:rFonts w:eastAsia="Times New Roman" w:cstheme="minorHAnsi"/>
          <w:sz w:val="22"/>
          <w:szCs w:val="22"/>
        </w:rPr>
      </w:pPr>
      <w:r w:rsidRPr="00FB168D">
        <w:rPr>
          <w:rFonts w:eastAsia="Times New Roman" w:cstheme="minorHAnsi"/>
          <w:sz w:val="22"/>
          <w:szCs w:val="22"/>
        </w:rPr>
        <w:t>A</w:t>
      </w:r>
      <w:r w:rsidR="00E57558" w:rsidRPr="00FB168D">
        <w:rPr>
          <w:rFonts w:eastAsia="Times New Roman" w:cstheme="minorHAnsi"/>
          <w:sz w:val="22"/>
          <w:szCs w:val="22"/>
        </w:rPr>
        <w:t>u moins le niveau maitrise en sciences sociales et ou politiques, Economie du développement, Développement durable, Genre et développement</w:t>
      </w:r>
      <w:r w:rsidR="000B0A10" w:rsidRPr="00FB168D">
        <w:rPr>
          <w:rFonts w:eastAsia="Times New Roman" w:cstheme="minorHAnsi"/>
          <w:sz w:val="22"/>
          <w:szCs w:val="22"/>
        </w:rPr>
        <w:t xml:space="preserve"> </w:t>
      </w:r>
      <w:r w:rsidR="00184FCB" w:rsidRPr="00FB168D">
        <w:rPr>
          <w:rFonts w:eastAsia="Times New Roman" w:cstheme="minorHAnsi"/>
          <w:sz w:val="22"/>
          <w:szCs w:val="22"/>
        </w:rPr>
        <w:t>ou domaine connexe</w:t>
      </w:r>
      <w:r w:rsidR="000B0A10" w:rsidRPr="00FB168D">
        <w:rPr>
          <w:rFonts w:eastAsia="Times New Roman" w:cstheme="minorHAnsi"/>
          <w:sz w:val="22"/>
          <w:szCs w:val="22"/>
        </w:rPr>
        <w:t> ;</w:t>
      </w:r>
    </w:p>
    <w:p w14:paraId="17762526" w14:textId="54E65DEF" w:rsidR="00E57558" w:rsidRPr="00FB168D" w:rsidRDefault="00E57558" w:rsidP="002A6157">
      <w:pPr>
        <w:widowControl w:val="0"/>
        <w:numPr>
          <w:ilvl w:val="0"/>
          <w:numId w:val="16"/>
        </w:numPr>
        <w:suppressAutoHyphens/>
        <w:spacing w:line="240" w:lineRule="auto"/>
        <w:ind w:left="360"/>
        <w:contextualSpacing/>
        <w:jc w:val="both"/>
        <w:rPr>
          <w:rFonts w:eastAsia="Times New Roman" w:cstheme="minorHAnsi"/>
          <w:sz w:val="22"/>
          <w:szCs w:val="22"/>
        </w:rPr>
      </w:pPr>
      <w:r w:rsidRPr="00FB168D">
        <w:rPr>
          <w:rFonts w:eastAsia="Times New Roman" w:cstheme="minorHAnsi"/>
          <w:sz w:val="22"/>
          <w:szCs w:val="22"/>
        </w:rPr>
        <w:t xml:space="preserve">Au moins </w:t>
      </w:r>
      <w:r w:rsidR="00D81D1E" w:rsidRPr="00FB168D">
        <w:rPr>
          <w:rFonts w:eastAsia="Times New Roman" w:cstheme="minorHAnsi"/>
          <w:sz w:val="22"/>
          <w:szCs w:val="22"/>
        </w:rPr>
        <w:t>0</w:t>
      </w:r>
      <w:r w:rsidRPr="00FB168D">
        <w:rPr>
          <w:rFonts w:eastAsia="Times New Roman" w:cstheme="minorHAnsi"/>
          <w:sz w:val="22"/>
          <w:szCs w:val="22"/>
        </w:rPr>
        <w:t xml:space="preserve">6 ans d’expérience dans l’accompagnement et l’évaluation de projets </w:t>
      </w:r>
      <w:r w:rsidR="002B7EEE" w:rsidRPr="00FB168D">
        <w:rPr>
          <w:rFonts w:eastAsia="Times New Roman" w:cstheme="minorHAnsi"/>
          <w:sz w:val="22"/>
          <w:szCs w:val="22"/>
        </w:rPr>
        <w:t xml:space="preserve">de </w:t>
      </w:r>
      <w:r w:rsidR="006D5F69" w:rsidRPr="00FB168D">
        <w:rPr>
          <w:rFonts w:eastAsia="Times New Roman" w:cstheme="minorHAnsi"/>
          <w:snapToGrid w:val="0"/>
          <w:kern w:val="1"/>
          <w:sz w:val="22"/>
          <w:szCs w:val="22"/>
        </w:rPr>
        <w:t xml:space="preserve">promotion et d’adoption des comportements et pratiques dans le secteur de la cuisson propre ou de l’énergie domestique, </w:t>
      </w:r>
      <w:r w:rsidRPr="00FB168D">
        <w:rPr>
          <w:rFonts w:eastAsia="Times New Roman" w:cstheme="minorHAnsi"/>
          <w:sz w:val="22"/>
          <w:szCs w:val="22"/>
        </w:rPr>
        <w:t xml:space="preserve">idéalement </w:t>
      </w:r>
      <w:r w:rsidR="00C3694D" w:rsidRPr="00FB168D">
        <w:rPr>
          <w:rFonts w:eastAsia="Times New Roman" w:cstheme="minorHAnsi"/>
          <w:sz w:val="22"/>
          <w:szCs w:val="22"/>
        </w:rPr>
        <w:t xml:space="preserve">avec des </w:t>
      </w:r>
      <w:r w:rsidRPr="00FB168D">
        <w:rPr>
          <w:rFonts w:eastAsia="Times New Roman" w:cstheme="minorHAnsi"/>
          <w:sz w:val="22"/>
          <w:szCs w:val="22"/>
        </w:rPr>
        <w:t>organisations de coopération internationale (SNV, DGIS, GIZ, etc.) ;</w:t>
      </w:r>
    </w:p>
    <w:p w14:paraId="00000446" w14:textId="22CC676A" w:rsidR="00D81D1E" w:rsidRPr="00FB168D" w:rsidRDefault="00D81D1E" w:rsidP="00D81D1E">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t xml:space="preserve">Au moins 04 ans d’expérience confirmée dans </w:t>
      </w:r>
      <w:r w:rsidR="00B85B35">
        <w:rPr>
          <w:rFonts w:eastAsia="Times New Roman" w:cstheme="minorHAnsi"/>
          <w:snapToGrid w:val="0"/>
          <w:kern w:val="1"/>
          <w:sz w:val="22"/>
          <w:szCs w:val="22"/>
        </w:rPr>
        <w:t xml:space="preserve">la participation à des </w:t>
      </w:r>
      <w:r w:rsidRPr="00FB168D">
        <w:rPr>
          <w:rFonts w:eastAsia="Times New Roman" w:cstheme="minorHAnsi"/>
          <w:snapToGrid w:val="0"/>
          <w:kern w:val="1"/>
          <w:sz w:val="22"/>
          <w:szCs w:val="22"/>
        </w:rPr>
        <w:t>études de base et évaluations dans le secteur de la cuisson propre ou de l’énergie domestique</w:t>
      </w:r>
      <w:r w:rsidR="00C10768" w:rsidRPr="00FB168D">
        <w:rPr>
          <w:rFonts w:eastAsia="Times New Roman" w:cstheme="minorHAnsi"/>
          <w:snapToGrid w:val="0"/>
          <w:kern w:val="1"/>
          <w:sz w:val="22"/>
          <w:szCs w:val="22"/>
        </w:rPr>
        <w:t>, dont 02 missions similaires</w:t>
      </w:r>
      <w:r w:rsidRPr="00FB168D">
        <w:rPr>
          <w:rFonts w:eastAsia="Times New Roman" w:cstheme="minorHAnsi"/>
          <w:snapToGrid w:val="0"/>
          <w:kern w:val="1"/>
          <w:sz w:val="22"/>
          <w:szCs w:val="22"/>
        </w:rPr>
        <w:t> ;</w:t>
      </w:r>
    </w:p>
    <w:p w14:paraId="2CE04C63" w14:textId="1CCD16A6" w:rsidR="00435776" w:rsidRPr="00FB168D" w:rsidRDefault="00435776" w:rsidP="00E57558">
      <w:pPr>
        <w:widowControl w:val="0"/>
        <w:numPr>
          <w:ilvl w:val="0"/>
          <w:numId w:val="16"/>
        </w:numPr>
        <w:suppressAutoHyphens/>
        <w:spacing w:line="240" w:lineRule="auto"/>
        <w:ind w:left="360"/>
        <w:contextualSpacing/>
        <w:jc w:val="both"/>
        <w:rPr>
          <w:rFonts w:eastAsia="Times New Roman" w:cstheme="minorHAnsi"/>
          <w:sz w:val="22"/>
          <w:szCs w:val="22"/>
        </w:rPr>
      </w:pPr>
      <w:r w:rsidRPr="00FB168D">
        <w:rPr>
          <w:rFonts w:eastAsia="Times New Roman" w:cstheme="minorHAnsi"/>
          <w:sz w:val="22"/>
          <w:szCs w:val="22"/>
        </w:rPr>
        <w:t>Expertise avérée en approches de changement de comportement (</w:t>
      </w:r>
      <w:proofErr w:type="spellStart"/>
      <w:r w:rsidRPr="00FB168D">
        <w:rPr>
          <w:rFonts w:eastAsia="Times New Roman" w:cstheme="minorHAnsi"/>
          <w:sz w:val="22"/>
          <w:szCs w:val="22"/>
        </w:rPr>
        <w:t>Behaviour</w:t>
      </w:r>
      <w:proofErr w:type="spellEnd"/>
      <w:r w:rsidRPr="00FB168D">
        <w:rPr>
          <w:rFonts w:eastAsia="Times New Roman" w:cstheme="minorHAnsi"/>
          <w:sz w:val="22"/>
          <w:szCs w:val="22"/>
        </w:rPr>
        <w:t xml:space="preserve"> Change Communication – BCC), avec application dans un contexte communautaire urbain ou périurbain ;</w:t>
      </w:r>
    </w:p>
    <w:p w14:paraId="07135D4C" w14:textId="59C9D23C" w:rsidR="00E57558" w:rsidRPr="00FB168D" w:rsidRDefault="00E57558" w:rsidP="00E57558">
      <w:pPr>
        <w:widowControl w:val="0"/>
        <w:numPr>
          <w:ilvl w:val="0"/>
          <w:numId w:val="16"/>
        </w:numPr>
        <w:suppressAutoHyphens/>
        <w:spacing w:line="240" w:lineRule="auto"/>
        <w:ind w:left="360"/>
        <w:contextualSpacing/>
        <w:jc w:val="both"/>
        <w:rPr>
          <w:rFonts w:eastAsia="Times New Roman" w:cstheme="minorHAnsi"/>
          <w:sz w:val="22"/>
          <w:szCs w:val="22"/>
        </w:rPr>
      </w:pPr>
      <w:r w:rsidRPr="00FB168D">
        <w:rPr>
          <w:rFonts w:eastAsia="Times New Roman" w:cstheme="minorHAnsi"/>
          <w:sz w:val="22"/>
          <w:szCs w:val="22"/>
        </w:rPr>
        <w:t xml:space="preserve">Maîtrise des enjeux </w:t>
      </w:r>
      <w:r w:rsidR="00051398" w:rsidRPr="00FB168D">
        <w:rPr>
          <w:rFonts w:eastAsia="Times New Roman" w:cstheme="minorHAnsi"/>
          <w:sz w:val="22"/>
          <w:szCs w:val="22"/>
        </w:rPr>
        <w:t xml:space="preserve">de </w:t>
      </w:r>
      <w:r w:rsidR="00051398" w:rsidRPr="00FB168D">
        <w:rPr>
          <w:rFonts w:eastAsia="Times New Roman" w:cstheme="minorHAnsi"/>
          <w:snapToGrid w:val="0"/>
          <w:kern w:val="1"/>
          <w:sz w:val="22"/>
          <w:szCs w:val="22"/>
        </w:rPr>
        <w:t>promotion et d’adoption des comportements et pratiques</w:t>
      </w:r>
      <w:r w:rsidRPr="00FB168D">
        <w:rPr>
          <w:rFonts w:eastAsia="Times New Roman" w:cstheme="minorHAnsi"/>
          <w:sz w:val="22"/>
          <w:szCs w:val="22"/>
        </w:rPr>
        <w:t xml:space="preserve">, et expérience en sensibilisation / plaidoyer pour </w:t>
      </w:r>
      <w:r w:rsidR="00D5233C" w:rsidRPr="00FB168D">
        <w:rPr>
          <w:rFonts w:eastAsia="Times New Roman" w:cstheme="minorHAnsi"/>
          <w:sz w:val="22"/>
          <w:szCs w:val="22"/>
        </w:rPr>
        <w:t>l’adoption des solutions et</w:t>
      </w:r>
      <w:r w:rsidRPr="00FB168D">
        <w:rPr>
          <w:rFonts w:eastAsia="Times New Roman" w:cstheme="minorHAnsi"/>
          <w:sz w:val="22"/>
          <w:szCs w:val="22"/>
        </w:rPr>
        <w:t xml:space="preserve"> pratiques climato-intelligentes </w:t>
      </w:r>
      <w:r w:rsidR="00D5233C" w:rsidRPr="00FB168D">
        <w:rPr>
          <w:rFonts w:eastAsia="Times New Roman" w:cstheme="minorHAnsi"/>
          <w:sz w:val="22"/>
          <w:szCs w:val="22"/>
        </w:rPr>
        <w:t xml:space="preserve">au niveau communautaire </w:t>
      </w:r>
      <w:r w:rsidRPr="00FB168D">
        <w:rPr>
          <w:rFonts w:eastAsia="Times New Roman" w:cstheme="minorHAnsi"/>
          <w:sz w:val="22"/>
          <w:szCs w:val="22"/>
        </w:rPr>
        <w:t>;</w:t>
      </w:r>
    </w:p>
    <w:p w14:paraId="222FD925" w14:textId="21857EE2" w:rsidR="008841E7" w:rsidRPr="00FB168D" w:rsidRDefault="008841E7" w:rsidP="008841E7">
      <w:pPr>
        <w:widowControl w:val="0"/>
        <w:numPr>
          <w:ilvl w:val="0"/>
          <w:numId w:val="16"/>
        </w:numPr>
        <w:suppressAutoHyphens/>
        <w:spacing w:line="240" w:lineRule="auto"/>
        <w:ind w:left="360"/>
        <w:jc w:val="both"/>
        <w:rPr>
          <w:rFonts w:eastAsia="Times New Roman" w:cstheme="minorHAnsi"/>
          <w:snapToGrid w:val="0"/>
          <w:kern w:val="1"/>
          <w:sz w:val="22"/>
          <w:szCs w:val="22"/>
        </w:rPr>
      </w:pPr>
      <w:r w:rsidRPr="00FB168D">
        <w:rPr>
          <w:rFonts w:eastAsia="Times New Roman" w:cstheme="minorHAnsi"/>
          <w:snapToGrid w:val="0"/>
          <w:kern w:val="1"/>
          <w:sz w:val="22"/>
          <w:szCs w:val="22"/>
        </w:rPr>
        <w:t xml:space="preserve">Expérience </w:t>
      </w:r>
      <w:r w:rsidR="004E05B7" w:rsidRPr="00FB168D">
        <w:rPr>
          <w:rFonts w:eastAsia="Times New Roman" w:cstheme="minorHAnsi"/>
          <w:snapToGrid w:val="0"/>
          <w:kern w:val="1"/>
          <w:sz w:val="22"/>
          <w:szCs w:val="22"/>
        </w:rPr>
        <w:t xml:space="preserve">avérée </w:t>
      </w:r>
      <w:r w:rsidRPr="00FB168D">
        <w:rPr>
          <w:rFonts w:eastAsia="Times New Roman" w:cstheme="minorHAnsi"/>
          <w:snapToGrid w:val="0"/>
          <w:kern w:val="1"/>
          <w:sz w:val="22"/>
          <w:szCs w:val="22"/>
        </w:rPr>
        <w:t>de travail avec les acteurs clés de l’écosystème d’adaptation aux changements climatiques (cuisson propre ou de l’énergie domestique) ;</w:t>
      </w:r>
    </w:p>
    <w:p w14:paraId="436AD9EA" w14:textId="0E7584DF" w:rsidR="00E57558" w:rsidRPr="00FB168D" w:rsidRDefault="00E57558" w:rsidP="00E57558">
      <w:pPr>
        <w:widowControl w:val="0"/>
        <w:numPr>
          <w:ilvl w:val="0"/>
          <w:numId w:val="16"/>
        </w:numPr>
        <w:suppressAutoHyphens/>
        <w:spacing w:line="240" w:lineRule="auto"/>
        <w:ind w:left="360"/>
        <w:contextualSpacing/>
        <w:jc w:val="both"/>
        <w:rPr>
          <w:rFonts w:eastAsia="Times New Roman" w:cstheme="minorHAnsi"/>
          <w:sz w:val="22"/>
          <w:szCs w:val="22"/>
        </w:rPr>
      </w:pPr>
      <w:r w:rsidRPr="00FB168D">
        <w:rPr>
          <w:rFonts w:eastAsia="Times New Roman" w:cstheme="minorHAnsi"/>
          <w:sz w:val="22"/>
          <w:szCs w:val="22"/>
        </w:rPr>
        <w:t>Aptitudes confirmées à animer des ateliers participatifs, focus-groups et formations, et à recueillir des données qualitatives et quantitatives</w:t>
      </w:r>
      <w:r w:rsidR="00D5233C" w:rsidRPr="00FB168D">
        <w:rPr>
          <w:rFonts w:eastAsia="Times New Roman" w:cstheme="minorHAnsi"/>
          <w:sz w:val="22"/>
          <w:szCs w:val="22"/>
        </w:rPr>
        <w:t xml:space="preserve"> auprès </w:t>
      </w:r>
      <w:r w:rsidR="00AC5ABF" w:rsidRPr="00FB168D">
        <w:rPr>
          <w:rFonts w:eastAsia="Times New Roman" w:cstheme="minorHAnsi"/>
          <w:sz w:val="22"/>
          <w:szCs w:val="22"/>
        </w:rPr>
        <w:t xml:space="preserve">de divers profils d’acteurs </w:t>
      </w:r>
      <w:r w:rsidRPr="00FB168D">
        <w:rPr>
          <w:rFonts w:eastAsia="Times New Roman" w:cstheme="minorHAnsi"/>
          <w:sz w:val="22"/>
          <w:szCs w:val="22"/>
        </w:rPr>
        <w:t>;</w:t>
      </w:r>
    </w:p>
    <w:p w14:paraId="7536BAF9" w14:textId="7EAAA338" w:rsidR="00E57558" w:rsidRPr="00FB168D" w:rsidRDefault="00E57558" w:rsidP="00E57558">
      <w:pPr>
        <w:widowControl w:val="0"/>
        <w:numPr>
          <w:ilvl w:val="0"/>
          <w:numId w:val="16"/>
        </w:numPr>
        <w:suppressAutoHyphens/>
        <w:spacing w:line="240" w:lineRule="auto"/>
        <w:ind w:left="360"/>
        <w:contextualSpacing/>
        <w:jc w:val="both"/>
        <w:rPr>
          <w:rFonts w:eastAsia="Times New Roman" w:cstheme="minorHAnsi"/>
          <w:sz w:val="22"/>
          <w:szCs w:val="22"/>
        </w:rPr>
      </w:pPr>
      <w:r w:rsidRPr="00FB168D">
        <w:rPr>
          <w:rFonts w:eastAsia="Times New Roman" w:cstheme="minorHAnsi"/>
          <w:sz w:val="22"/>
          <w:szCs w:val="22"/>
        </w:rPr>
        <w:t>Excellentes compétences rédactionnelles en français, et capacité à produire des livrables clairs, synthétiques et opérationnels</w:t>
      </w:r>
      <w:r w:rsidR="00D5610E" w:rsidRPr="00FB168D">
        <w:rPr>
          <w:rFonts w:eastAsia="Times New Roman" w:cstheme="minorHAnsi"/>
          <w:sz w:val="22"/>
          <w:szCs w:val="22"/>
        </w:rPr>
        <w:t> ;</w:t>
      </w:r>
    </w:p>
    <w:p w14:paraId="7BFF38DB" w14:textId="3A81114B" w:rsidR="0027006B" w:rsidRPr="00487839" w:rsidRDefault="0009686E" w:rsidP="0027006B">
      <w:pPr>
        <w:widowControl w:val="0"/>
        <w:numPr>
          <w:ilvl w:val="0"/>
          <w:numId w:val="16"/>
        </w:numPr>
        <w:suppressAutoHyphens/>
        <w:spacing w:line="240" w:lineRule="auto"/>
        <w:ind w:left="360"/>
        <w:contextualSpacing/>
        <w:jc w:val="both"/>
        <w:rPr>
          <w:rFonts w:eastAsia="Times New Roman" w:cstheme="minorHAnsi"/>
          <w:sz w:val="22"/>
          <w:szCs w:val="22"/>
        </w:rPr>
      </w:pPr>
      <w:r w:rsidRPr="00FB168D">
        <w:rPr>
          <w:rFonts w:cstheme="minorHAnsi"/>
          <w:sz w:val="22"/>
          <w:szCs w:val="22"/>
        </w:rPr>
        <w:t xml:space="preserve">La connaissance du Bambara comme une langue locale est un atout majeur.  </w:t>
      </w:r>
    </w:p>
    <w:p w14:paraId="567B58DB" w14:textId="481C4FBF" w:rsidR="002623EB" w:rsidRPr="00FB168D" w:rsidRDefault="007B23F1" w:rsidP="002623EB">
      <w:pPr>
        <w:pStyle w:val="Heading1"/>
        <w:rPr>
          <w:rFonts w:asciiTheme="minorHAnsi" w:hAnsiTheme="minorHAnsi" w:cstheme="minorHAnsi"/>
        </w:rPr>
      </w:pPr>
      <w:r w:rsidRPr="00FB168D">
        <w:rPr>
          <w:rFonts w:asciiTheme="minorHAnsi" w:hAnsiTheme="minorHAnsi" w:cstheme="minorHAnsi"/>
        </w:rPr>
        <w:t xml:space="preserve">Droits d’auteur et propriété intellectuelle </w:t>
      </w:r>
    </w:p>
    <w:p w14:paraId="550CAEF0" w14:textId="56217D39" w:rsidR="00E319D6" w:rsidRPr="00FB168D" w:rsidRDefault="003A1E28" w:rsidP="003A1E28">
      <w:pPr>
        <w:pStyle w:val="BodyText"/>
        <w:spacing w:before="3" w:line="276" w:lineRule="auto"/>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Tous les produits, livrables, documents, matériels, contenus audiovisuels, supports numériques, bases de données, outils ou tout autre résultat issus de la mission, produits dans le cadre de ce contrat, seront la propriété exclusive de SNV, sauf disposition contraire explicitement convenue par écrit.</w:t>
      </w:r>
    </w:p>
    <w:p w14:paraId="27EFA3F3" w14:textId="60E9DAE1" w:rsidR="003A1E28" w:rsidRPr="00FB168D" w:rsidRDefault="00183D90" w:rsidP="003A1E28">
      <w:pPr>
        <w:pStyle w:val="BodyText"/>
        <w:spacing w:before="3" w:line="276" w:lineRule="auto"/>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L’équipe de consultants</w:t>
      </w:r>
      <w:r w:rsidR="003A1E28" w:rsidRPr="00FB168D">
        <w:rPr>
          <w:rFonts w:asciiTheme="minorHAnsi" w:hAnsiTheme="minorHAnsi" w:cstheme="minorHAnsi"/>
          <w:sz w:val="22"/>
          <w:szCs w:val="22"/>
          <w:lang w:val="fr-FR"/>
        </w:rPr>
        <w:t xml:space="preserve"> s'engage à respecter les principes suivants :</w:t>
      </w:r>
    </w:p>
    <w:p w14:paraId="2F716DA1" w14:textId="56DC04C9" w:rsidR="003A1E28" w:rsidRPr="00FB168D" w:rsidRDefault="003A1E28" w:rsidP="001D7A9A">
      <w:pPr>
        <w:pStyle w:val="BodyText"/>
        <w:numPr>
          <w:ilvl w:val="0"/>
          <w:numId w:val="10"/>
        </w:numPr>
        <w:spacing w:before="3" w:line="276" w:lineRule="auto"/>
        <w:jc w:val="both"/>
        <w:rPr>
          <w:rFonts w:asciiTheme="minorHAnsi" w:hAnsiTheme="minorHAnsi" w:cstheme="minorHAnsi"/>
          <w:b/>
          <w:bCs/>
          <w:sz w:val="22"/>
          <w:szCs w:val="22"/>
          <w:lang w:val="fr-FR"/>
        </w:rPr>
      </w:pPr>
      <w:r w:rsidRPr="00FB168D">
        <w:rPr>
          <w:rFonts w:asciiTheme="minorHAnsi" w:hAnsiTheme="minorHAnsi" w:cstheme="minorHAnsi"/>
          <w:b/>
          <w:bCs/>
          <w:sz w:val="22"/>
          <w:szCs w:val="22"/>
          <w:lang w:val="fr-FR"/>
        </w:rPr>
        <w:t>Transfert des droits</w:t>
      </w:r>
    </w:p>
    <w:p w14:paraId="2D8796DA" w14:textId="77777777" w:rsidR="003A1E28" w:rsidRPr="00FB168D" w:rsidRDefault="003A1E28" w:rsidP="003A1E28">
      <w:pPr>
        <w:pStyle w:val="BodyText"/>
        <w:spacing w:before="3" w:line="276" w:lineRule="auto"/>
        <w:ind w:left="720"/>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Les droits patrimoniaux d’auteur afférents aux livrables sont intégralement cédés à SNV dès leur production et leur paiement effectif. Cela inclut, sans limitation :</w:t>
      </w:r>
    </w:p>
    <w:p w14:paraId="7BA5AEAF" w14:textId="02AE4ECA" w:rsidR="003A1E28" w:rsidRPr="00FB168D" w:rsidRDefault="003A1E28" w:rsidP="001D7A9A">
      <w:pPr>
        <w:pStyle w:val="BodyText"/>
        <w:numPr>
          <w:ilvl w:val="0"/>
          <w:numId w:val="10"/>
        </w:numPr>
        <w:spacing w:before="3" w:line="276" w:lineRule="auto"/>
        <w:jc w:val="both"/>
        <w:rPr>
          <w:rFonts w:asciiTheme="minorHAnsi" w:hAnsiTheme="minorHAnsi" w:cstheme="minorHAnsi"/>
          <w:b/>
          <w:bCs/>
          <w:sz w:val="22"/>
          <w:szCs w:val="22"/>
          <w:lang w:val="fr-FR"/>
        </w:rPr>
      </w:pPr>
      <w:r w:rsidRPr="00FB168D">
        <w:rPr>
          <w:rFonts w:asciiTheme="minorHAnsi" w:hAnsiTheme="minorHAnsi" w:cstheme="minorHAnsi"/>
          <w:b/>
          <w:bCs/>
          <w:sz w:val="22"/>
          <w:szCs w:val="22"/>
          <w:lang w:val="fr-FR"/>
        </w:rPr>
        <w:t>Le droit de reproduction, diffusion, traduction, adaptation, transformation, en tout ou partie</w:t>
      </w:r>
    </w:p>
    <w:p w14:paraId="0451ECB3" w14:textId="77777777" w:rsidR="003A1E28" w:rsidRPr="00FB168D" w:rsidRDefault="003A1E28" w:rsidP="003A1E28">
      <w:pPr>
        <w:pStyle w:val="BodyText"/>
        <w:spacing w:before="3" w:line="276" w:lineRule="auto"/>
        <w:ind w:left="720"/>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 xml:space="preserve">Le droit d’usage pour des besoins internes, de plaidoyer, de communication publique, ou à </w:t>
      </w:r>
      <w:r w:rsidRPr="00FB168D">
        <w:rPr>
          <w:rFonts w:asciiTheme="minorHAnsi" w:hAnsiTheme="minorHAnsi" w:cstheme="minorHAnsi"/>
          <w:sz w:val="22"/>
          <w:szCs w:val="22"/>
          <w:lang w:val="fr-FR"/>
        </w:rPr>
        <w:lastRenderedPageBreak/>
        <w:t xml:space="preserve">des fins de </w:t>
      </w:r>
      <w:proofErr w:type="spellStart"/>
      <w:r w:rsidRPr="00FB168D">
        <w:rPr>
          <w:rFonts w:asciiTheme="minorHAnsi" w:hAnsiTheme="minorHAnsi" w:cstheme="minorHAnsi"/>
          <w:sz w:val="22"/>
          <w:szCs w:val="22"/>
          <w:lang w:val="fr-FR"/>
        </w:rPr>
        <w:t>reporting</w:t>
      </w:r>
      <w:proofErr w:type="spellEnd"/>
      <w:r w:rsidRPr="00FB168D">
        <w:rPr>
          <w:rFonts w:asciiTheme="minorHAnsi" w:hAnsiTheme="minorHAnsi" w:cstheme="minorHAnsi"/>
          <w:sz w:val="22"/>
          <w:szCs w:val="22"/>
          <w:lang w:val="fr-FR"/>
        </w:rPr>
        <w:t xml:space="preserve"> aux partenaires techniques et financiers.</w:t>
      </w:r>
    </w:p>
    <w:p w14:paraId="477E5C99" w14:textId="44DE77D2" w:rsidR="003A1E28" w:rsidRPr="00FB168D" w:rsidRDefault="003A1E28" w:rsidP="001D7A9A">
      <w:pPr>
        <w:pStyle w:val="BodyText"/>
        <w:numPr>
          <w:ilvl w:val="0"/>
          <w:numId w:val="10"/>
        </w:numPr>
        <w:spacing w:before="3" w:line="276" w:lineRule="auto"/>
        <w:jc w:val="both"/>
        <w:rPr>
          <w:rFonts w:asciiTheme="minorHAnsi" w:hAnsiTheme="minorHAnsi" w:cstheme="minorHAnsi"/>
          <w:b/>
          <w:bCs/>
          <w:sz w:val="22"/>
          <w:szCs w:val="22"/>
          <w:lang w:val="fr-FR"/>
        </w:rPr>
      </w:pPr>
      <w:r w:rsidRPr="00FB168D">
        <w:rPr>
          <w:rFonts w:asciiTheme="minorHAnsi" w:hAnsiTheme="minorHAnsi" w:cstheme="minorHAnsi"/>
          <w:b/>
          <w:bCs/>
          <w:sz w:val="22"/>
          <w:szCs w:val="22"/>
          <w:lang w:val="fr-FR"/>
        </w:rPr>
        <w:t>Mention des auteurs</w:t>
      </w:r>
    </w:p>
    <w:p w14:paraId="55B33EE2" w14:textId="77777777" w:rsidR="003A1E28" w:rsidRPr="00FB168D" w:rsidRDefault="003A1E28" w:rsidP="003A1E28">
      <w:pPr>
        <w:pStyle w:val="BodyText"/>
        <w:spacing w:before="3" w:line="276" w:lineRule="auto"/>
        <w:ind w:left="720"/>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SNV se réserve le droit de mentionner ou non le nom du consultant ou de l’organisation prestataire dans la diffusion des produits réalisés, selon le contexte, les supports, ou les politiques de communication en vigueur.</w:t>
      </w:r>
    </w:p>
    <w:p w14:paraId="4E27F1F1" w14:textId="574A31D7" w:rsidR="003A1E28" w:rsidRPr="00FB168D" w:rsidRDefault="003A1E28" w:rsidP="001D7A9A">
      <w:pPr>
        <w:pStyle w:val="BodyText"/>
        <w:numPr>
          <w:ilvl w:val="0"/>
          <w:numId w:val="10"/>
        </w:numPr>
        <w:spacing w:before="3" w:line="276" w:lineRule="auto"/>
        <w:jc w:val="both"/>
        <w:rPr>
          <w:rFonts w:asciiTheme="minorHAnsi" w:hAnsiTheme="minorHAnsi" w:cstheme="minorHAnsi"/>
          <w:b/>
          <w:bCs/>
          <w:sz w:val="22"/>
          <w:szCs w:val="22"/>
          <w:lang w:val="fr-FR"/>
        </w:rPr>
      </w:pPr>
      <w:r w:rsidRPr="00FB168D">
        <w:rPr>
          <w:rFonts w:asciiTheme="minorHAnsi" w:hAnsiTheme="minorHAnsi" w:cstheme="minorHAnsi"/>
          <w:b/>
          <w:bCs/>
          <w:sz w:val="22"/>
          <w:szCs w:val="22"/>
          <w:lang w:val="fr-FR"/>
        </w:rPr>
        <w:t>Interdiction de réutilisation sans autorisation</w:t>
      </w:r>
    </w:p>
    <w:p w14:paraId="6D798BBB" w14:textId="77777777" w:rsidR="003A1E28" w:rsidRPr="00FB168D" w:rsidRDefault="003A1E28" w:rsidP="003A1E28">
      <w:pPr>
        <w:pStyle w:val="BodyText"/>
        <w:spacing w:before="3" w:line="276" w:lineRule="auto"/>
        <w:ind w:left="720"/>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Le consultant ne pourra en aucun cas revendre, réutiliser ou redistribuer à des tiers les produits ou résultats du travail réalisé sans l'accord écrit préalable de SNV.</w:t>
      </w:r>
    </w:p>
    <w:p w14:paraId="728BDCAC" w14:textId="743B1326" w:rsidR="003A1E28" w:rsidRPr="00FB168D" w:rsidRDefault="003A1E28" w:rsidP="001D7A9A">
      <w:pPr>
        <w:pStyle w:val="BodyText"/>
        <w:numPr>
          <w:ilvl w:val="0"/>
          <w:numId w:val="10"/>
        </w:numPr>
        <w:spacing w:before="3" w:line="276" w:lineRule="auto"/>
        <w:jc w:val="both"/>
        <w:rPr>
          <w:rFonts w:asciiTheme="minorHAnsi" w:hAnsiTheme="minorHAnsi" w:cstheme="minorHAnsi"/>
          <w:b/>
          <w:bCs/>
          <w:sz w:val="22"/>
          <w:szCs w:val="22"/>
          <w:lang w:val="fr-FR"/>
        </w:rPr>
      </w:pPr>
      <w:r w:rsidRPr="00FB168D">
        <w:rPr>
          <w:rFonts w:asciiTheme="minorHAnsi" w:hAnsiTheme="minorHAnsi" w:cstheme="minorHAnsi"/>
          <w:b/>
          <w:bCs/>
          <w:sz w:val="22"/>
          <w:szCs w:val="22"/>
          <w:lang w:val="fr-FR"/>
        </w:rPr>
        <w:t>Protection des contenus sensibles</w:t>
      </w:r>
    </w:p>
    <w:p w14:paraId="7A9DA57F" w14:textId="77777777" w:rsidR="003A1E28" w:rsidRPr="00FB168D" w:rsidRDefault="003A1E28" w:rsidP="003A1E28">
      <w:pPr>
        <w:pStyle w:val="BodyText"/>
        <w:spacing w:before="3" w:line="276" w:lineRule="auto"/>
        <w:ind w:left="720"/>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Le prestataire s'engage à ne pas divulguer, publier ou utiliser à des fins personnelles ou commerciales toute information confidentielle, stratégique ou sensible obtenue dans le cadre de la mission.</w:t>
      </w:r>
    </w:p>
    <w:p w14:paraId="797BDC3F" w14:textId="325E3597" w:rsidR="003A1E28" w:rsidRPr="00FB168D" w:rsidRDefault="003A1E28" w:rsidP="001D7A9A">
      <w:pPr>
        <w:pStyle w:val="BodyText"/>
        <w:numPr>
          <w:ilvl w:val="0"/>
          <w:numId w:val="10"/>
        </w:numPr>
        <w:spacing w:before="3" w:line="276" w:lineRule="auto"/>
        <w:jc w:val="both"/>
        <w:rPr>
          <w:rFonts w:asciiTheme="minorHAnsi" w:hAnsiTheme="minorHAnsi" w:cstheme="minorHAnsi"/>
          <w:b/>
          <w:bCs/>
          <w:sz w:val="22"/>
          <w:szCs w:val="22"/>
          <w:lang w:val="fr-FR"/>
        </w:rPr>
      </w:pPr>
      <w:r w:rsidRPr="00FB168D">
        <w:rPr>
          <w:rFonts w:asciiTheme="minorHAnsi" w:hAnsiTheme="minorHAnsi" w:cstheme="minorHAnsi"/>
          <w:b/>
          <w:bCs/>
          <w:sz w:val="22"/>
          <w:szCs w:val="22"/>
          <w:lang w:val="fr-FR"/>
        </w:rPr>
        <w:t>Respect des droits de tiers</w:t>
      </w:r>
    </w:p>
    <w:p w14:paraId="3E2D64AF" w14:textId="4420E8E1" w:rsidR="003A1E28" w:rsidRPr="00487839" w:rsidRDefault="003A1E28" w:rsidP="00487839">
      <w:pPr>
        <w:pStyle w:val="BodyText"/>
        <w:spacing w:before="3" w:line="276" w:lineRule="auto"/>
        <w:ind w:left="720"/>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Il appartient au consultant de s’assurer que les éléments fournis à SNV (images, sons, logiciels, polices, etc.) sont libres de droits ou utilisés dans le respect des licences applicables. Toute violation de droits de propriété intellectuelle de tiers relèvera de sa responsabilité exclusive.</w:t>
      </w:r>
    </w:p>
    <w:p w14:paraId="629FFDCF" w14:textId="4A57AD41" w:rsidR="00E319D6" w:rsidRPr="00FB168D" w:rsidRDefault="007B23F1" w:rsidP="00D627B5">
      <w:pPr>
        <w:pStyle w:val="Heading1"/>
        <w:rPr>
          <w:rFonts w:asciiTheme="minorHAnsi" w:hAnsiTheme="minorHAnsi" w:cstheme="minorHAnsi"/>
        </w:rPr>
      </w:pPr>
      <w:r w:rsidRPr="00FB168D">
        <w:rPr>
          <w:rFonts w:asciiTheme="minorHAnsi" w:hAnsiTheme="minorHAnsi" w:cstheme="minorHAnsi"/>
        </w:rPr>
        <w:t>Dossier de l’offre</w:t>
      </w:r>
    </w:p>
    <w:p w14:paraId="2B9A10A8" w14:textId="5D2ED864" w:rsidR="007B23F1" w:rsidRPr="00FB168D" w:rsidRDefault="007B23F1" w:rsidP="003A1E28">
      <w:pPr>
        <w:spacing w:line="276" w:lineRule="auto"/>
        <w:jc w:val="both"/>
        <w:rPr>
          <w:rFonts w:cstheme="minorHAnsi"/>
          <w:sz w:val="22"/>
          <w:szCs w:val="22"/>
        </w:rPr>
      </w:pPr>
      <w:r w:rsidRPr="00FB168D">
        <w:rPr>
          <w:rFonts w:cstheme="minorHAnsi"/>
          <w:sz w:val="22"/>
          <w:szCs w:val="22"/>
        </w:rPr>
        <w:t xml:space="preserve">Le dossier de l’offre doit contenir une lettre de soumission, une offre technique indiquant la compréhension de l’appel à candidature, la plaquette de présentation de la structure avec références, des </w:t>
      </w:r>
      <w:r w:rsidR="00CB1ADD">
        <w:rPr>
          <w:rFonts w:cstheme="minorHAnsi"/>
          <w:sz w:val="22"/>
          <w:szCs w:val="22"/>
        </w:rPr>
        <w:t>évidences de prestations similaires</w:t>
      </w:r>
      <w:r w:rsidRPr="00FB168D">
        <w:rPr>
          <w:rFonts w:cstheme="minorHAnsi"/>
          <w:sz w:val="22"/>
          <w:szCs w:val="22"/>
        </w:rPr>
        <w:t xml:space="preserve"> et une offre financière.</w:t>
      </w:r>
    </w:p>
    <w:p w14:paraId="78FBE074" w14:textId="77777777" w:rsidR="00A65E8C" w:rsidRPr="00FB168D" w:rsidRDefault="00A65E8C" w:rsidP="003A1E28">
      <w:pPr>
        <w:spacing w:line="276" w:lineRule="auto"/>
        <w:jc w:val="both"/>
        <w:rPr>
          <w:rFonts w:cstheme="minorHAnsi"/>
          <w:sz w:val="22"/>
          <w:szCs w:val="22"/>
        </w:rPr>
      </w:pPr>
    </w:p>
    <w:p w14:paraId="507DBFA4" w14:textId="6F7BBC83" w:rsidR="007B23F1" w:rsidRPr="00FB168D" w:rsidRDefault="007B23F1" w:rsidP="003A1E28">
      <w:pPr>
        <w:spacing w:line="276" w:lineRule="auto"/>
        <w:jc w:val="both"/>
        <w:rPr>
          <w:rFonts w:cstheme="minorHAnsi"/>
          <w:sz w:val="22"/>
          <w:szCs w:val="22"/>
        </w:rPr>
      </w:pPr>
      <w:r w:rsidRPr="00FB168D">
        <w:rPr>
          <w:rFonts w:cstheme="minorHAnsi"/>
          <w:sz w:val="22"/>
          <w:szCs w:val="22"/>
        </w:rPr>
        <w:t>Les offres doivent aussi contenir les éléments administratifs suivants :</w:t>
      </w:r>
    </w:p>
    <w:p w14:paraId="032DE2C7" w14:textId="7F9A66C8" w:rsidR="007B23F1" w:rsidRPr="00FB168D" w:rsidRDefault="007B23F1" w:rsidP="001D7A9A">
      <w:pPr>
        <w:pStyle w:val="ListParagraph"/>
        <w:numPr>
          <w:ilvl w:val="0"/>
          <w:numId w:val="7"/>
        </w:numPr>
        <w:spacing w:line="276" w:lineRule="auto"/>
        <w:jc w:val="both"/>
        <w:rPr>
          <w:rFonts w:asciiTheme="minorHAnsi" w:hAnsiTheme="minorHAnsi" w:cstheme="minorHAnsi"/>
          <w:sz w:val="22"/>
          <w:szCs w:val="22"/>
        </w:rPr>
      </w:pPr>
      <w:r w:rsidRPr="00FB168D">
        <w:rPr>
          <w:rFonts w:asciiTheme="minorHAnsi" w:hAnsiTheme="minorHAnsi" w:cstheme="minorHAnsi"/>
          <w:sz w:val="22"/>
          <w:szCs w:val="22"/>
        </w:rPr>
        <w:t>Numéro d’Identification Fiscal,</w:t>
      </w:r>
    </w:p>
    <w:p w14:paraId="1261AADC" w14:textId="23724877" w:rsidR="007B23F1" w:rsidRPr="00FB168D" w:rsidRDefault="007B23F1" w:rsidP="001D7A9A">
      <w:pPr>
        <w:pStyle w:val="ListParagraph"/>
        <w:numPr>
          <w:ilvl w:val="0"/>
          <w:numId w:val="7"/>
        </w:numPr>
        <w:spacing w:line="276" w:lineRule="auto"/>
        <w:jc w:val="both"/>
        <w:rPr>
          <w:rFonts w:asciiTheme="minorHAnsi" w:hAnsiTheme="minorHAnsi" w:cstheme="minorHAnsi"/>
          <w:sz w:val="22"/>
          <w:szCs w:val="22"/>
        </w:rPr>
      </w:pPr>
      <w:r w:rsidRPr="00FB168D">
        <w:rPr>
          <w:rFonts w:asciiTheme="minorHAnsi" w:hAnsiTheme="minorHAnsi" w:cstheme="minorHAnsi"/>
          <w:sz w:val="22"/>
          <w:szCs w:val="22"/>
        </w:rPr>
        <w:t>Attestation de Situation Fiscale (ASF),</w:t>
      </w:r>
    </w:p>
    <w:p w14:paraId="47E4871A" w14:textId="6E63FDFA" w:rsidR="007B23F1" w:rsidRPr="00FB168D" w:rsidRDefault="007B23F1" w:rsidP="001D7A9A">
      <w:pPr>
        <w:pStyle w:val="ListParagraph"/>
        <w:numPr>
          <w:ilvl w:val="0"/>
          <w:numId w:val="7"/>
        </w:numPr>
        <w:spacing w:line="276" w:lineRule="auto"/>
        <w:jc w:val="both"/>
        <w:rPr>
          <w:rFonts w:asciiTheme="minorHAnsi" w:hAnsiTheme="minorHAnsi" w:cstheme="minorHAnsi"/>
          <w:sz w:val="22"/>
          <w:szCs w:val="22"/>
        </w:rPr>
      </w:pPr>
      <w:r w:rsidRPr="00FB168D">
        <w:rPr>
          <w:rFonts w:asciiTheme="minorHAnsi" w:hAnsiTheme="minorHAnsi" w:cstheme="minorHAnsi"/>
          <w:sz w:val="22"/>
          <w:szCs w:val="22"/>
        </w:rPr>
        <w:t>Relevé d’identité bancaire (RIB)</w:t>
      </w:r>
      <w:r w:rsidR="000900D4" w:rsidRPr="00FB168D">
        <w:rPr>
          <w:rFonts w:asciiTheme="minorHAnsi" w:hAnsiTheme="minorHAnsi" w:cstheme="minorHAnsi"/>
          <w:sz w:val="22"/>
          <w:szCs w:val="22"/>
        </w:rPr>
        <w:t>,</w:t>
      </w:r>
    </w:p>
    <w:p w14:paraId="251FBE5F" w14:textId="372E539B" w:rsidR="007B23F1" w:rsidRPr="00FB168D" w:rsidRDefault="007B23F1" w:rsidP="001D7A9A">
      <w:pPr>
        <w:pStyle w:val="ListParagraph"/>
        <w:numPr>
          <w:ilvl w:val="0"/>
          <w:numId w:val="7"/>
        </w:numPr>
        <w:spacing w:line="276" w:lineRule="auto"/>
        <w:jc w:val="both"/>
        <w:rPr>
          <w:rFonts w:asciiTheme="minorHAnsi" w:hAnsiTheme="minorHAnsi" w:cstheme="minorHAnsi"/>
          <w:sz w:val="22"/>
          <w:szCs w:val="22"/>
        </w:rPr>
      </w:pPr>
      <w:r w:rsidRPr="00FB168D">
        <w:rPr>
          <w:rFonts w:asciiTheme="minorHAnsi" w:hAnsiTheme="minorHAnsi" w:cstheme="minorHAnsi"/>
          <w:sz w:val="22"/>
          <w:szCs w:val="22"/>
        </w:rPr>
        <w:t>Copie du Registre de Commerce.</w:t>
      </w:r>
    </w:p>
    <w:p w14:paraId="3C911C9A" w14:textId="77777777" w:rsidR="00591482" w:rsidRPr="00FB168D" w:rsidRDefault="00591482" w:rsidP="003A1E28">
      <w:pPr>
        <w:spacing w:line="276" w:lineRule="auto"/>
        <w:jc w:val="both"/>
        <w:rPr>
          <w:rFonts w:cstheme="minorHAnsi"/>
          <w:b/>
          <w:bCs/>
          <w:sz w:val="22"/>
          <w:szCs w:val="22"/>
        </w:rPr>
      </w:pPr>
    </w:p>
    <w:p w14:paraId="500E5BD1" w14:textId="73591BEC" w:rsidR="00D627B5" w:rsidRDefault="007B23F1" w:rsidP="003A1E28">
      <w:pPr>
        <w:spacing w:line="276" w:lineRule="auto"/>
        <w:jc w:val="both"/>
        <w:rPr>
          <w:rFonts w:cstheme="minorHAnsi"/>
          <w:sz w:val="22"/>
          <w:szCs w:val="22"/>
        </w:rPr>
      </w:pPr>
      <w:r w:rsidRPr="00FB168D">
        <w:rPr>
          <w:rFonts w:cstheme="minorHAnsi"/>
          <w:b/>
          <w:bCs/>
          <w:sz w:val="22"/>
          <w:szCs w:val="22"/>
        </w:rPr>
        <w:t>Critères d’évaluation :</w:t>
      </w:r>
      <w:r w:rsidRPr="00FB168D">
        <w:rPr>
          <w:rFonts w:cstheme="minorHAnsi"/>
          <w:sz w:val="22"/>
          <w:szCs w:val="22"/>
        </w:rPr>
        <w:t xml:space="preserve"> le contrat sera attribué au soumissionnaire dont l’offre respecte les instructions du présent Appel à candidature, remplissant les conditions d’éligibilité et qui est jugée être la meilleure offre sur une base techniquement et financièrement acceptable.</w:t>
      </w:r>
    </w:p>
    <w:p w14:paraId="6AC4996A" w14:textId="77777777" w:rsidR="004A5B71" w:rsidRDefault="004A5B71" w:rsidP="003A1E28">
      <w:pPr>
        <w:spacing w:line="276" w:lineRule="auto"/>
        <w:jc w:val="both"/>
        <w:rPr>
          <w:rFonts w:cstheme="minorHAnsi"/>
          <w:sz w:val="22"/>
          <w:szCs w:val="22"/>
        </w:rPr>
      </w:pPr>
    </w:p>
    <w:p w14:paraId="00734FDB" w14:textId="77777777" w:rsidR="004A5B71" w:rsidRDefault="004A5B71" w:rsidP="003A1E28">
      <w:pPr>
        <w:spacing w:line="276" w:lineRule="auto"/>
        <w:jc w:val="both"/>
        <w:rPr>
          <w:rFonts w:cstheme="minorHAnsi"/>
          <w:sz w:val="22"/>
          <w:szCs w:val="22"/>
        </w:rPr>
      </w:pPr>
    </w:p>
    <w:p w14:paraId="59014FF4" w14:textId="77777777" w:rsidR="003C4C8A" w:rsidRDefault="003C4C8A" w:rsidP="003A1E28">
      <w:pPr>
        <w:spacing w:line="276" w:lineRule="auto"/>
        <w:jc w:val="both"/>
        <w:rPr>
          <w:rFonts w:cstheme="minorHAnsi"/>
          <w:sz w:val="22"/>
          <w:szCs w:val="22"/>
        </w:rPr>
      </w:pPr>
    </w:p>
    <w:p w14:paraId="272EFA18" w14:textId="77777777" w:rsidR="004A5B71" w:rsidRDefault="004A5B71" w:rsidP="003A1E28">
      <w:pPr>
        <w:spacing w:line="276" w:lineRule="auto"/>
        <w:jc w:val="both"/>
        <w:rPr>
          <w:rFonts w:cstheme="minorHAnsi"/>
          <w:sz w:val="22"/>
          <w:szCs w:val="22"/>
        </w:rPr>
      </w:pPr>
    </w:p>
    <w:p w14:paraId="56B313B1" w14:textId="77777777" w:rsidR="004A5B71" w:rsidRPr="00FB168D" w:rsidRDefault="004A5B71" w:rsidP="003A1E28">
      <w:pPr>
        <w:spacing w:line="276" w:lineRule="auto"/>
        <w:jc w:val="both"/>
        <w:rPr>
          <w:rFonts w:cstheme="minorHAnsi"/>
          <w:sz w:val="22"/>
          <w:szCs w:val="22"/>
        </w:rPr>
      </w:pPr>
    </w:p>
    <w:tbl>
      <w:tblPr>
        <w:tblW w:w="5728" w:type="pct"/>
        <w:tblInd w:w="-1286" w:type="dxa"/>
        <w:tblBorders>
          <w:top w:val="single" w:sz="8" w:space="0" w:color="375380" w:themeColor="text2"/>
          <w:left w:val="single" w:sz="8" w:space="0" w:color="375380" w:themeColor="text2"/>
          <w:bottom w:val="single" w:sz="8" w:space="0" w:color="375380" w:themeColor="text2"/>
          <w:right w:val="single" w:sz="8" w:space="0" w:color="375380" w:themeColor="text2"/>
          <w:insideH w:val="single" w:sz="8" w:space="0" w:color="375380" w:themeColor="text2"/>
          <w:insideV w:val="single" w:sz="8" w:space="0" w:color="375380" w:themeColor="text2"/>
        </w:tblBorders>
        <w:tblCellMar>
          <w:left w:w="0" w:type="dxa"/>
          <w:right w:w="0" w:type="dxa"/>
        </w:tblCellMar>
        <w:tblLook w:val="04A0" w:firstRow="1" w:lastRow="0" w:firstColumn="1" w:lastColumn="0" w:noHBand="0" w:noVBand="1"/>
      </w:tblPr>
      <w:tblGrid>
        <w:gridCol w:w="4396"/>
        <w:gridCol w:w="3825"/>
        <w:gridCol w:w="1894"/>
      </w:tblGrid>
      <w:tr w:rsidR="00C304A9" w:rsidRPr="0080246D" w14:paraId="754B74FD" w14:textId="77777777" w:rsidTr="002C2512">
        <w:tc>
          <w:tcPr>
            <w:tcW w:w="2173" w:type="pct"/>
            <w:tcBorders>
              <w:right w:val="single" w:sz="4" w:space="0" w:color="auto"/>
            </w:tcBorders>
            <w:shd w:val="clear" w:color="auto" w:fill="375380" w:themeFill="text2"/>
            <w:tcMar>
              <w:top w:w="0" w:type="dxa"/>
              <w:left w:w="108" w:type="dxa"/>
              <w:bottom w:w="0" w:type="dxa"/>
              <w:right w:w="108" w:type="dxa"/>
            </w:tcMar>
            <w:vAlign w:val="center"/>
          </w:tcPr>
          <w:p w14:paraId="51E54DCC" w14:textId="5250DDE5" w:rsidR="0096773A" w:rsidRPr="0080246D" w:rsidRDefault="0096773A" w:rsidP="004A5B71">
            <w:pPr>
              <w:jc w:val="center"/>
              <w:rPr>
                <w:rFonts w:cstheme="minorHAnsi"/>
                <w:b/>
                <w:bCs/>
                <w:color w:val="FFFFFF" w:themeColor="background1"/>
                <w:sz w:val="22"/>
                <w:szCs w:val="22"/>
              </w:rPr>
            </w:pPr>
            <w:r w:rsidRPr="0080246D">
              <w:rPr>
                <w:rFonts w:cstheme="minorHAnsi"/>
                <w:b/>
                <w:bCs/>
                <w:color w:val="FFFFFF" w:themeColor="background1"/>
                <w:sz w:val="22"/>
                <w:szCs w:val="22"/>
              </w:rPr>
              <w:lastRenderedPageBreak/>
              <w:t>Critères</w:t>
            </w:r>
          </w:p>
        </w:tc>
        <w:tc>
          <w:tcPr>
            <w:tcW w:w="1891" w:type="pct"/>
            <w:tcBorders>
              <w:left w:val="single" w:sz="4" w:space="0" w:color="auto"/>
            </w:tcBorders>
            <w:shd w:val="clear" w:color="auto" w:fill="375380" w:themeFill="text2"/>
            <w:vAlign w:val="center"/>
          </w:tcPr>
          <w:p w14:paraId="3104AC7D" w14:textId="2F075F45" w:rsidR="0096773A" w:rsidRPr="0080246D" w:rsidRDefault="0096773A" w:rsidP="004A5B71">
            <w:pPr>
              <w:jc w:val="center"/>
              <w:rPr>
                <w:rFonts w:cstheme="minorHAnsi"/>
                <w:b/>
                <w:bCs/>
                <w:color w:val="FFFFFF" w:themeColor="background1"/>
                <w:sz w:val="22"/>
                <w:szCs w:val="22"/>
              </w:rPr>
            </w:pPr>
            <w:r w:rsidRPr="0080246D">
              <w:rPr>
                <w:rFonts w:cstheme="minorHAnsi"/>
                <w:b/>
                <w:bCs/>
                <w:color w:val="FFFFFF" w:themeColor="background1"/>
                <w:sz w:val="22"/>
                <w:szCs w:val="22"/>
              </w:rPr>
              <w:t>Preuves attendues</w:t>
            </w:r>
          </w:p>
        </w:tc>
        <w:tc>
          <w:tcPr>
            <w:tcW w:w="936" w:type="pct"/>
            <w:shd w:val="clear" w:color="auto" w:fill="375380" w:themeFill="text2"/>
            <w:tcMar>
              <w:top w:w="0" w:type="dxa"/>
              <w:left w:w="108" w:type="dxa"/>
              <w:bottom w:w="0" w:type="dxa"/>
              <w:right w:w="108" w:type="dxa"/>
            </w:tcMar>
            <w:vAlign w:val="center"/>
          </w:tcPr>
          <w:p w14:paraId="64E66206" w14:textId="1D03ACB0" w:rsidR="0096773A" w:rsidRPr="0080246D" w:rsidRDefault="0096773A" w:rsidP="004A5B71">
            <w:pPr>
              <w:ind w:left="493"/>
              <w:jc w:val="center"/>
              <w:rPr>
                <w:rFonts w:cstheme="minorHAnsi"/>
                <w:b/>
                <w:bCs/>
                <w:color w:val="FFFFFF" w:themeColor="background1"/>
                <w:sz w:val="22"/>
                <w:szCs w:val="22"/>
              </w:rPr>
            </w:pPr>
            <w:r w:rsidRPr="0080246D">
              <w:rPr>
                <w:rFonts w:cstheme="minorHAnsi"/>
                <w:b/>
                <w:bCs/>
                <w:color w:val="FFFFFF" w:themeColor="background1"/>
                <w:sz w:val="22"/>
                <w:szCs w:val="22"/>
              </w:rPr>
              <w:t>Score maximum</w:t>
            </w:r>
          </w:p>
        </w:tc>
      </w:tr>
      <w:tr w:rsidR="004A5B71" w:rsidRPr="0080246D" w14:paraId="106F6E83" w14:textId="77777777" w:rsidTr="002C2512">
        <w:trPr>
          <w:trHeight w:val="625"/>
        </w:trPr>
        <w:tc>
          <w:tcPr>
            <w:tcW w:w="2173" w:type="pct"/>
            <w:vMerge w:val="restart"/>
            <w:tcBorders>
              <w:right w:val="single" w:sz="4" w:space="0" w:color="auto"/>
            </w:tcBorders>
            <w:tcMar>
              <w:top w:w="0" w:type="dxa"/>
              <w:left w:w="108" w:type="dxa"/>
              <w:bottom w:w="0" w:type="dxa"/>
              <w:right w:w="108" w:type="dxa"/>
            </w:tcMar>
            <w:vAlign w:val="center"/>
          </w:tcPr>
          <w:p w14:paraId="6AD414EE" w14:textId="3EF5458F" w:rsidR="004A5B71" w:rsidRPr="0080246D" w:rsidRDefault="004A5B71" w:rsidP="004A5B71">
            <w:pPr>
              <w:rPr>
                <w:rFonts w:cstheme="minorHAnsi"/>
                <w:b/>
                <w:bCs/>
                <w:sz w:val="22"/>
                <w:szCs w:val="22"/>
              </w:rPr>
            </w:pPr>
            <w:r w:rsidRPr="0080246D">
              <w:rPr>
                <w:rFonts w:cstheme="minorHAnsi"/>
                <w:b/>
                <w:bCs/>
                <w:sz w:val="22"/>
                <w:szCs w:val="22"/>
              </w:rPr>
              <w:t>Approche technique &amp; méthodologie (30 pts)</w:t>
            </w:r>
          </w:p>
        </w:tc>
        <w:tc>
          <w:tcPr>
            <w:tcW w:w="1891" w:type="pct"/>
            <w:tcBorders>
              <w:left w:val="single" w:sz="4" w:space="0" w:color="auto"/>
            </w:tcBorders>
          </w:tcPr>
          <w:p w14:paraId="3DEAF0DD" w14:textId="0A0B24C3" w:rsidR="004A5B71" w:rsidRPr="0080246D" w:rsidRDefault="004A5B71" w:rsidP="007B23F1">
            <w:pPr>
              <w:rPr>
                <w:rFonts w:cstheme="minorHAnsi"/>
                <w:sz w:val="22"/>
                <w:szCs w:val="22"/>
              </w:rPr>
            </w:pPr>
            <w:r w:rsidRPr="0080246D">
              <w:rPr>
                <w:rFonts w:cstheme="minorHAnsi"/>
                <w:sz w:val="22"/>
                <w:szCs w:val="22"/>
              </w:rPr>
              <w:t>Méthodologie jugée conforme, claire, adaptée et pertinente, cite les outils, la/les technique de collecte à utiliser, les cibles à interviewer, les techniques de traitement d’analyses des données etc…</w:t>
            </w:r>
          </w:p>
        </w:tc>
        <w:tc>
          <w:tcPr>
            <w:tcW w:w="936" w:type="pct"/>
            <w:tcMar>
              <w:top w:w="0" w:type="dxa"/>
              <w:left w:w="108" w:type="dxa"/>
              <w:bottom w:w="0" w:type="dxa"/>
              <w:right w:w="108" w:type="dxa"/>
            </w:tcMar>
            <w:hideMark/>
          </w:tcPr>
          <w:p w14:paraId="6533D496" w14:textId="56560AD8" w:rsidR="004A5B71" w:rsidRPr="0080246D" w:rsidRDefault="004A5B71" w:rsidP="007B23F1">
            <w:pPr>
              <w:jc w:val="center"/>
              <w:rPr>
                <w:rFonts w:cstheme="minorHAnsi"/>
                <w:sz w:val="22"/>
                <w:szCs w:val="22"/>
              </w:rPr>
            </w:pPr>
            <w:r w:rsidRPr="0080246D">
              <w:rPr>
                <w:rFonts w:cstheme="minorHAnsi"/>
                <w:sz w:val="22"/>
                <w:szCs w:val="22"/>
              </w:rPr>
              <w:t>30</w:t>
            </w:r>
          </w:p>
        </w:tc>
      </w:tr>
      <w:tr w:rsidR="004A5B71" w:rsidRPr="0080246D" w14:paraId="3FA81948" w14:textId="77777777" w:rsidTr="002C2512">
        <w:tc>
          <w:tcPr>
            <w:tcW w:w="2173" w:type="pct"/>
            <w:vMerge/>
            <w:tcBorders>
              <w:right w:val="single" w:sz="4" w:space="0" w:color="auto"/>
            </w:tcBorders>
            <w:tcMar>
              <w:top w:w="0" w:type="dxa"/>
              <w:left w:w="108" w:type="dxa"/>
              <w:bottom w:w="0" w:type="dxa"/>
              <w:right w:w="108" w:type="dxa"/>
            </w:tcMar>
          </w:tcPr>
          <w:p w14:paraId="1DEF6046" w14:textId="0ECDDEA7" w:rsidR="004A5B71" w:rsidRPr="0080246D" w:rsidRDefault="004A5B71" w:rsidP="007B23F1">
            <w:pPr>
              <w:rPr>
                <w:rFonts w:cstheme="minorHAnsi"/>
                <w:sz w:val="22"/>
                <w:szCs w:val="22"/>
                <w:u w:val="single"/>
              </w:rPr>
            </w:pPr>
          </w:p>
        </w:tc>
        <w:tc>
          <w:tcPr>
            <w:tcW w:w="1891" w:type="pct"/>
            <w:tcBorders>
              <w:left w:val="single" w:sz="4" w:space="0" w:color="auto"/>
            </w:tcBorders>
          </w:tcPr>
          <w:p w14:paraId="5F12B31A" w14:textId="760693AA" w:rsidR="004A5B71" w:rsidRPr="0080246D" w:rsidRDefault="004A5B71" w:rsidP="007B23F1">
            <w:pPr>
              <w:rPr>
                <w:rFonts w:cstheme="minorHAnsi"/>
                <w:sz w:val="22"/>
                <w:szCs w:val="22"/>
              </w:rPr>
            </w:pPr>
            <w:r w:rsidRPr="0080246D">
              <w:rPr>
                <w:rFonts w:cstheme="minorHAnsi"/>
                <w:sz w:val="22"/>
                <w:szCs w:val="22"/>
              </w:rPr>
              <w:t>Méthodologie jugée conforme claire, adaptée, pertinente, ne cite pas les outils ou/et la/les technique de collecte à utiliser, les cibles à interviewer etc…</w:t>
            </w:r>
          </w:p>
        </w:tc>
        <w:tc>
          <w:tcPr>
            <w:tcW w:w="936" w:type="pct"/>
            <w:tcMar>
              <w:top w:w="0" w:type="dxa"/>
              <w:left w:w="108" w:type="dxa"/>
              <w:bottom w:w="0" w:type="dxa"/>
              <w:right w:w="108" w:type="dxa"/>
            </w:tcMar>
          </w:tcPr>
          <w:p w14:paraId="034D1841" w14:textId="2436A2DD" w:rsidR="004A5B71" w:rsidRPr="0080246D" w:rsidRDefault="004A5B71" w:rsidP="007B23F1">
            <w:pPr>
              <w:jc w:val="center"/>
              <w:rPr>
                <w:rFonts w:cstheme="minorHAnsi"/>
                <w:sz w:val="22"/>
                <w:szCs w:val="22"/>
              </w:rPr>
            </w:pPr>
            <w:r w:rsidRPr="0080246D">
              <w:rPr>
                <w:rFonts w:cstheme="minorHAnsi"/>
                <w:sz w:val="22"/>
                <w:szCs w:val="22"/>
              </w:rPr>
              <w:t>40</w:t>
            </w:r>
          </w:p>
        </w:tc>
      </w:tr>
      <w:tr w:rsidR="004A5B71" w:rsidRPr="0080246D" w14:paraId="32115E90" w14:textId="77777777" w:rsidTr="002C2512">
        <w:tc>
          <w:tcPr>
            <w:tcW w:w="2173" w:type="pct"/>
            <w:vMerge/>
            <w:tcBorders>
              <w:right w:val="single" w:sz="4" w:space="0" w:color="auto"/>
            </w:tcBorders>
            <w:tcMar>
              <w:top w:w="0" w:type="dxa"/>
              <w:left w:w="108" w:type="dxa"/>
              <w:bottom w:w="0" w:type="dxa"/>
              <w:right w:w="108" w:type="dxa"/>
            </w:tcMar>
          </w:tcPr>
          <w:p w14:paraId="2EDEA452" w14:textId="0AE36C5C" w:rsidR="004A5B71" w:rsidRPr="0080246D" w:rsidRDefault="004A5B71" w:rsidP="007B23F1">
            <w:pPr>
              <w:rPr>
                <w:rFonts w:cstheme="minorHAnsi"/>
                <w:sz w:val="22"/>
                <w:szCs w:val="22"/>
                <w:u w:val="single"/>
              </w:rPr>
            </w:pPr>
          </w:p>
        </w:tc>
        <w:tc>
          <w:tcPr>
            <w:tcW w:w="1891" w:type="pct"/>
            <w:tcBorders>
              <w:left w:val="single" w:sz="4" w:space="0" w:color="auto"/>
            </w:tcBorders>
          </w:tcPr>
          <w:p w14:paraId="6FB9A8E3" w14:textId="0D628346" w:rsidR="004A5B71" w:rsidRPr="0080246D" w:rsidRDefault="004A5B71" w:rsidP="007B23F1">
            <w:pPr>
              <w:rPr>
                <w:rFonts w:cstheme="minorHAnsi"/>
                <w:sz w:val="22"/>
                <w:szCs w:val="22"/>
              </w:rPr>
            </w:pPr>
            <w:r w:rsidRPr="0080246D">
              <w:rPr>
                <w:rFonts w:cstheme="minorHAnsi"/>
                <w:sz w:val="22"/>
                <w:szCs w:val="22"/>
              </w:rPr>
              <w:t>Méthodologie jugée peu conforme, claire, adaptée et pas pertinente, ne cite pas les outils ou/et la/les technique de collecte à utiliser, les cibles à interviewer etc…</w:t>
            </w:r>
          </w:p>
        </w:tc>
        <w:tc>
          <w:tcPr>
            <w:tcW w:w="936" w:type="pct"/>
            <w:tcMar>
              <w:top w:w="0" w:type="dxa"/>
              <w:left w:w="108" w:type="dxa"/>
              <w:bottom w:w="0" w:type="dxa"/>
              <w:right w:w="108" w:type="dxa"/>
            </w:tcMar>
          </w:tcPr>
          <w:p w14:paraId="2E529B02" w14:textId="1C728088" w:rsidR="004A5B71" w:rsidRPr="0080246D" w:rsidRDefault="004A5B71" w:rsidP="007B23F1">
            <w:pPr>
              <w:jc w:val="center"/>
              <w:rPr>
                <w:rFonts w:cstheme="minorHAnsi"/>
                <w:sz w:val="22"/>
                <w:szCs w:val="22"/>
              </w:rPr>
            </w:pPr>
            <w:r w:rsidRPr="0080246D">
              <w:rPr>
                <w:rFonts w:cstheme="minorHAnsi"/>
                <w:sz w:val="22"/>
                <w:szCs w:val="22"/>
              </w:rPr>
              <w:t>30</w:t>
            </w:r>
          </w:p>
        </w:tc>
      </w:tr>
      <w:tr w:rsidR="00305F9B" w:rsidRPr="0080246D" w14:paraId="3434A099" w14:textId="77777777" w:rsidTr="002C2512">
        <w:tc>
          <w:tcPr>
            <w:tcW w:w="2173" w:type="pct"/>
            <w:vMerge w:val="restart"/>
            <w:tcBorders>
              <w:right w:val="single" w:sz="4" w:space="0" w:color="auto"/>
            </w:tcBorders>
            <w:tcMar>
              <w:top w:w="0" w:type="dxa"/>
              <w:left w:w="108" w:type="dxa"/>
              <w:bottom w:w="0" w:type="dxa"/>
              <w:right w:w="108" w:type="dxa"/>
            </w:tcMar>
            <w:vAlign w:val="center"/>
          </w:tcPr>
          <w:p w14:paraId="1FB3C3E8" w14:textId="13D08E86" w:rsidR="00305F9B" w:rsidRPr="0080246D" w:rsidRDefault="00305F9B" w:rsidP="00305F9B">
            <w:pPr>
              <w:rPr>
                <w:rFonts w:cstheme="minorHAnsi"/>
                <w:sz w:val="22"/>
                <w:szCs w:val="22"/>
              </w:rPr>
            </w:pPr>
            <w:r w:rsidRPr="0080246D">
              <w:rPr>
                <w:rFonts w:cstheme="minorHAnsi"/>
                <w:b/>
                <w:bCs/>
                <w:sz w:val="22"/>
                <w:szCs w:val="22"/>
              </w:rPr>
              <w:t>Un plan d'action pour la conduite de l'étude (20 points)</w:t>
            </w:r>
          </w:p>
        </w:tc>
        <w:tc>
          <w:tcPr>
            <w:tcW w:w="1891" w:type="pct"/>
            <w:tcBorders>
              <w:left w:val="single" w:sz="4" w:space="0" w:color="auto"/>
            </w:tcBorders>
          </w:tcPr>
          <w:p w14:paraId="4E6F6935" w14:textId="55F26610" w:rsidR="00305F9B" w:rsidRPr="0080246D" w:rsidRDefault="00305F9B" w:rsidP="00305F9B">
            <w:pPr>
              <w:rPr>
                <w:rFonts w:cstheme="minorHAnsi"/>
                <w:sz w:val="22"/>
                <w:szCs w:val="22"/>
              </w:rPr>
            </w:pPr>
            <w:r w:rsidRPr="0080246D">
              <w:rPr>
                <w:rFonts w:cstheme="minorHAnsi"/>
                <w:sz w:val="22"/>
                <w:szCs w:val="22"/>
              </w:rPr>
              <w:t>Un plan d'action réaliste, précise les éléments de chaque étape de l’étude (quand, où et comment qui, quoi)</w:t>
            </w:r>
          </w:p>
        </w:tc>
        <w:tc>
          <w:tcPr>
            <w:tcW w:w="936" w:type="pct"/>
            <w:tcMar>
              <w:top w:w="0" w:type="dxa"/>
              <w:left w:w="108" w:type="dxa"/>
              <w:bottom w:w="0" w:type="dxa"/>
              <w:right w:w="108" w:type="dxa"/>
            </w:tcMar>
          </w:tcPr>
          <w:p w14:paraId="2323EC80" w14:textId="3BB9F2F0" w:rsidR="00305F9B" w:rsidRPr="0080246D" w:rsidRDefault="00AC2E31" w:rsidP="00305F9B">
            <w:pPr>
              <w:jc w:val="center"/>
              <w:rPr>
                <w:rFonts w:cstheme="minorHAnsi"/>
                <w:sz w:val="22"/>
                <w:szCs w:val="22"/>
              </w:rPr>
            </w:pPr>
            <w:r w:rsidRPr="0080246D">
              <w:rPr>
                <w:rFonts w:cstheme="minorHAnsi"/>
                <w:sz w:val="22"/>
                <w:szCs w:val="22"/>
              </w:rPr>
              <w:t>20</w:t>
            </w:r>
          </w:p>
        </w:tc>
      </w:tr>
      <w:tr w:rsidR="00305F9B" w:rsidRPr="0080246D" w14:paraId="6E51A7B4" w14:textId="77777777" w:rsidTr="002C2512">
        <w:tc>
          <w:tcPr>
            <w:tcW w:w="2173" w:type="pct"/>
            <w:vMerge/>
            <w:tcBorders>
              <w:right w:val="single" w:sz="4" w:space="0" w:color="auto"/>
            </w:tcBorders>
            <w:tcMar>
              <w:top w:w="0" w:type="dxa"/>
              <w:left w:w="108" w:type="dxa"/>
              <w:bottom w:w="0" w:type="dxa"/>
              <w:right w:w="108" w:type="dxa"/>
            </w:tcMar>
            <w:vAlign w:val="center"/>
          </w:tcPr>
          <w:p w14:paraId="4B81533E" w14:textId="77777777" w:rsidR="00305F9B" w:rsidRPr="0080246D" w:rsidRDefault="00305F9B" w:rsidP="00305F9B">
            <w:pPr>
              <w:rPr>
                <w:rFonts w:cstheme="minorHAnsi"/>
                <w:sz w:val="22"/>
                <w:szCs w:val="22"/>
              </w:rPr>
            </w:pPr>
          </w:p>
        </w:tc>
        <w:tc>
          <w:tcPr>
            <w:tcW w:w="1891" w:type="pct"/>
            <w:tcBorders>
              <w:left w:val="single" w:sz="4" w:space="0" w:color="auto"/>
            </w:tcBorders>
          </w:tcPr>
          <w:p w14:paraId="3B634CDD" w14:textId="4F42500C" w:rsidR="00305F9B" w:rsidRPr="0080246D" w:rsidRDefault="00305F9B" w:rsidP="00305F9B">
            <w:pPr>
              <w:rPr>
                <w:rFonts w:cstheme="minorHAnsi"/>
                <w:sz w:val="22"/>
                <w:szCs w:val="22"/>
              </w:rPr>
            </w:pPr>
            <w:r w:rsidRPr="0080246D">
              <w:rPr>
                <w:rFonts w:cstheme="minorHAnsi"/>
                <w:sz w:val="22"/>
                <w:szCs w:val="22"/>
              </w:rPr>
              <w:t>Un plan d'action jugée acceptable, précise certains des éléments de chaque étape de l’étude (quand, où et comment qui, quoi)</w:t>
            </w:r>
          </w:p>
        </w:tc>
        <w:tc>
          <w:tcPr>
            <w:tcW w:w="936" w:type="pct"/>
            <w:tcMar>
              <w:top w:w="0" w:type="dxa"/>
              <w:left w:w="108" w:type="dxa"/>
              <w:bottom w:w="0" w:type="dxa"/>
              <w:right w:w="108" w:type="dxa"/>
            </w:tcMar>
          </w:tcPr>
          <w:p w14:paraId="6B887DDE" w14:textId="3877C7D6" w:rsidR="00305F9B" w:rsidRPr="0080246D" w:rsidRDefault="001457B5" w:rsidP="00305F9B">
            <w:pPr>
              <w:jc w:val="center"/>
              <w:rPr>
                <w:rFonts w:cstheme="minorHAnsi"/>
                <w:sz w:val="22"/>
                <w:szCs w:val="22"/>
              </w:rPr>
            </w:pPr>
            <w:r w:rsidRPr="0080246D">
              <w:rPr>
                <w:rFonts w:cstheme="minorHAnsi"/>
                <w:sz w:val="22"/>
                <w:szCs w:val="22"/>
              </w:rPr>
              <w:t>10</w:t>
            </w:r>
          </w:p>
        </w:tc>
      </w:tr>
      <w:tr w:rsidR="00305F9B" w:rsidRPr="0080246D" w14:paraId="0C321CD6" w14:textId="77777777" w:rsidTr="002C2512">
        <w:tc>
          <w:tcPr>
            <w:tcW w:w="2173" w:type="pct"/>
            <w:vMerge/>
            <w:tcBorders>
              <w:right w:val="single" w:sz="4" w:space="0" w:color="auto"/>
            </w:tcBorders>
            <w:tcMar>
              <w:top w:w="0" w:type="dxa"/>
              <w:left w:w="108" w:type="dxa"/>
              <w:bottom w:w="0" w:type="dxa"/>
              <w:right w:w="108" w:type="dxa"/>
            </w:tcMar>
            <w:vAlign w:val="center"/>
          </w:tcPr>
          <w:p w14:paraId="621A272E" w14:textId="77777777" w:rsidR="00305F9B" w:rsidRPr="0080246D" w:rsidRDefault="00305F9B" w:rsidP="00305F9B">
            <w:pPr>
              <w:rPr>
                <w:rFonts w:cstheme="minorHAnsi"/>
                <w:sz w:val="22"/>
                <w:szCs w:val="22"/>
              </w:rPr>
            </w:pPr>
          </w:p>
        </w:tc>
        <w:tc>
          <w:tcPr>
            <w:tcW w:w="1891" w:type="pct"/>
            <w:tcBorders>
              <w:left w:val="single" w:sz="4" w:space="0" w:color="auto"/>
              <w:bottom w:val="single" w:sz="4" w:space="0" w:color="auto"/>
            </w:tcBorders>
          </w:tcPr>
          <w:p w14:paraId="205DEF8C" w14:textId="3E05CD34" w:rsidR="00305F9B" w:rsidRPr="0080246D" w:rsidRDefault="00305F9B" w:rsidP="00305F9B">
            <w:pPr>
              <w:rPr>
                <w:rFonts w:cstheme="minorHAnsi"/>
                <w:sz w:val="22"/>
                <w:szCs w:val="22"/>
              </w:rPr>
            </w:pPr>
            <w:r w:rsidRPr="0080246D">
              <w:rPr>
                <w:rFonts w:cstheme="minorHAnsi"/>
                <w:sz w:val="22"/>
                <w:szCs w:val="22"/>
              </w:rPr>
              <w:t>Un plan d'action jugée pas bon, ne précise pas des éléments de chaque étape de l’étude (quand, où et comment qui, quoi)</w:t>
            </w:r>
          </w:p>
        </w:tc>
        <w:tc>
          <w:tcPr>
            <w:tcW w:w="936" w:type="pct"/>
            <w:tcBorders>
              <w:bottom w:val="single" w:sz="4" w:space="0" w:color="auto"/>
            </w:tcBorders>
            <w:tcMar>
              <w:top w:w="0" w:type="dxa"/>
              <w:left w:w="108" w:type="dxa"/>
              <w:bottom w:w="0" w:type="dxa"/>
              <w:right w:w="108" w:type="dxa"/>
            </w:tcMar>
          </w:tcPr>
          <w:p w14:paraId="4EBB8D8C" w14:textId="622770F2" w:rsidR="00305F9B" w:rsidRPr="0080246D" w:rsidRDefault="001457B5" w:rsidP="00305F9B">
            <w:pPr>
              <w:jc w:val="center"/>
              <w:rPr>
                <w:rFonts w:cstheme="minorHAnsi"/>
                <w:sz w:val="22"/>
                <w:szCs w:val="22"/>
              </w:rPr>
            </w:pPr>
            <w:r w:rsidRPr="0080246D">
              <w:rPr>
                <w:rFonts w:cstheme="minorHAnsi"/>
                <w:sz w:val="22"/>
                <w:szCs w:val="22"/>
              </w:rPr>
              <w:t>00</w:t>
            </w:r>
          </w:p>
        </w:tc>
      </w:tr>
      <w:tr w:rsidR="00767F41" w:rsidRPr="0080246D" w14:paraId="1B65EF86" w14:textId="77777777" w:rsidTr="002C2512">
        <w:trPr>
          <w:trHeight w:val="908"/>
        </w:trPr>
        <w:tc>
          <w:tcPr>
            <w:tcW w:w="2173" w:type="pct"/>
            <w:vMerge w:val="restart"/>
            <w:tcBorders>
              <w:right w:val="single" w:sz="4" w:space="0" w:color="auto"/>
            </w:tcBorders>
            <w:tcMar>
              <w:top w:w="0" w:type="dxa"/>
              <w:left w:w="108" w:type="dxa"/>
              <w:bottom w:w="0" w:type="dxa"/>
              <w:right w:w="108" w:type="dxa"/>
            </w:tcMar>
            <w:vAlign w:val="center"/>
          </w:tcPr>
          <w:p w14:paraId="5335758F" w14:textId="77777777" w:rsidR="00767F41" w:rsidRPr="0080246D" w:rsidRDefault="00767F41" w:rsidP="00767F41">
            <w:pPr>
              <w:rPr>
                <w:rFonts w:cstheme="minorHAnsi"/>
                <w:b/>
                <w:bCs/>
                <w:sz w:val="22"/>
                <w:szCs w:val="22"/>
              </w:rPr>
            </w:pPr>
            <w:r w:rsidRPr="0080246D">
              <w:rPr>
                <w:rFonts w:cstheme="minorHAnsi"/>
                <w:b/>
                <w:bCs/>
                <w:sz w:val="22"/>
                <w:szCs w:val="22"/>
              </w:rPr>
              <w:t>Qualifications (30pts)</w:t>
            </w:r>
          </w:p>
          <w:p w14:paraId="44EBC27F" w14:textId="77777777" w:rsidR="00767F41" w:rsidRPr="0080246D" w:rsidRDefault="00767F41" w:rsidP="00767F41">
            <w:pPr>
              <w:rPr>
                <w:rFonts w:cstheme="minorHAnsi"/>
                <w:sz w:val="22"/>
                <w:szCs w:val="22"/>
              </w:rPr>
            </w:pPr>
            <w:r w:rsidRPr="0080246D">
              <w:rPr>
                <w:rFonts w:cstheme="minorHAnsi"/>
                <w:b/>
                <w:bCs/>
                <w:sz w:val="22"/>
                <w:szCs w:val="22"/>
              </w:rPr>
              <w:t>Curriculum Vitae du consultant principal :</w:t>
            </w:r>
            <w:r w:rsidRPr="0080246D">
              <w:rPr>
                <w:rFonts w:cstheme="minorHAnsi"/>
                <w:sz w:val="22"/>
                <w:szCs w:val="22"/>
              </w:rPr>
              <w:t xml:space="preserve"> Diplôme d'études supérieures (Titulaire au moins d’un Master en sociologie, planification, administration des collectivités, économie du développement, gestion de projets ou discipline équivalente. </w:t>
            </w:r>
          </w:p>
          <w:p w14:paraId="239149EC" w14:textId="77777777" w:rsidR="00767F41" w:rsidRPr="0080246D" w:rsidRDefault="00767F41" w:rsidP="00767F41">
            <w:pPr>
              <w:rPr>
                <w:rFonts w:cstheme="minorHAnsi"/>
                <w:sz w:val="22"/>
                <w:szCs w:val="22"/>
              </w:rPr>
            </w:pPr>
            <w:r w:rsidRPr="0080246D">
              <w:rPr>
                <w:rFonts w:cstheme="minorHAnsi"/>
                <w:sz w:val="22"/>
                <w:szCs w:val="22"/>
              </w:rPr>
              <w:t xml:space="preserve">Au moins 08 ans d’expérience confirmée dans la conception et la conduite d’études de base et d’évaluations de projets, dont 04 ans sur des projets de promotion et d’adoption des comportements et pratiques dans le secteur de la cuisson propre ou de l’énergie domestique. </w:t>
            </w:r>
          </w:p>
          <w:p w14:paraId="02FF680A" w14:textId="17CD96AA" w:rsidR="00767F41" w:rsidRPr="0080246D" w:rsidRDefault="00767F41" w:rsidP="00767F41">
            <w:pPr>
              <w:rPr>
                <w:rFonts w:cstheme="minorHAnsi"/>
                <w:sz w:val="22"/>
                <w:szCs w:val="22"/>
              </w:rPr>
            </w:pPr>
            <w:r w:rsidRPr="0080246D">
              <w:rPr>
                <w:rFonts w:cstheme="minorHAnsi"/>
                <w:b/>
                <w:bCs/>
                <w:sz w:val="22"/>
                <w:szCs w:val="22"/>
              </w:rPr>
              <w:t>Curriculum Vitae du consultant associé :</w:t>
            </w:r>
            <w:r w:rsidRPr="0080246D">
              <w:rPr>
                <w:rFonts w:cstheme="minorHAnsi"/>
                <w:sz w:val="22"/>
                <w:szCs w:val="22"/>
              </w:rPr>
              <w:t xml:space="preserve"> Diplôme d'études supérieures (Au moins le niveau maitrise en sciences sociales et ou politiques, Economie du développement, Développement durable, Genre et </w:t>
            </w:r>
            <w:r w:rsidRPr="0080246D">
              <w:rPr>
                <w:rFonts w:cstheme="minorHAnsi"/>
                <w:sz w:val="22"/>
                <w:szCs w:val="22"/>
              </w:rPr>
              <w:lastRenderedPageBreak/>
              <w:t>développement ou domaine connexe.   Au moins 06 ans d’expérience dans l’accompagnement et l’évaluation de projets de promotion et d’adoption des comportements et pratiques dans le secteur de la cuisson propre ou de l’énergie domestique, idéalement avec des organisations de coopération internationale (SNV, DGIS, GIZ, etc.)</w:t>
            </w:r>
          </w:p>
        </w:tc>
        <w:tc>
          <w:tcPr>
            <w:tcW w:w="1891" w:type="pct"/>
            <w:tcBorders>
              <w:left w:val="single" w:sz="4" w:space="0" w:color="auto"/>
              <w:bottom w:val="single" w:sz="4" w:space="0" w:color="auto"/>
            </w:tcBorders>
            <w:vAlign w:val="center"/>
          </w:tcPr>
          <w:p w14:paraId="1B470441" w14:textId="62B3C6E3" w:rsidR="00767F41" w:rsidRPr="0080246D" w:rsidRDefault="00767F41" w:rsidP="00767F41">
            <w:pPr>
              <w:rPr>
                <w:rFonts w:cstheme="minorHAnsi"/>
                <w:sz w:val="22"/>
                <w:szCs w:val="22"/>
              </w:rPr>
            </w:pPr>
            <w:r w:rsidRPr="0080246D">
              <w:rPr>
                <w:rFonts w:cstheme="minorHAnsi"/>
                <w:sz w:val="22"/>
                <w:szCs w:val="22"/>
              </w:rPr>
              <w:lastRenderedPageBreak/>
              <w:t>Tous les (2) spécialistes des domaines de l’étude sont dans l’équipe.</w:t>
            </w:r>
          </w:p>
        </w:tc>
        <w:tc>
          <w:tcPr>
            <w:tcW w:w="936" w:type="pct"/>
            <w:tcBorders>
              <w:bottom w:val="single" w:sz="4" w:space="0" w:color="auto"/>
            </w:tcBorders>
            <w:tcMar>
              <w:top w:w="0" w:type="dxa"/>
              <w:left w:w="108" w:type="dxa"/>
              <w:bottom w:w="0" w:type="dxa"/>
              <w:right w:w="108" w:type="dxa"/>
            </w:tcMar>
            <w:vAlign w:val="center"/>
          </w:tcPr>
          <w:p w14:paraId="0E7AE312" w14:textId="21EFEFF7" w:rsidR="00767F41" w:rsidRPr="0080246D" w:rsidRDefault="00D40A2F" w:rsidP="00CE4450">
            <w:pPr>
              <w:jc w:val="center"/>
              <w:rPr>
                <w:rFonts w:cstheme="minorHAnsi"/>
                <w:sz w:val="22"/>
                <w:szCs w:val="22"/>
              </w:rPr>
            </w:pPr>
            <w:r w:rsidRPr="0080246D">
              <w:rPr>
                <w:rFonts w:cstheme="minorHAnsi"/>
                <w:sz w:val="22"/>
                <w:szCs w:val="22"/>
              </w:rPr>
              <w:t>30</w:t>
            </w:r>
          </w:p>
        </w:tc>
      </w:tr>
      <w:tr w:rsidR="00767F41" w:rsidRPr="0080246D" w14:paraId="57FE7405" w14:textId="77777777" w:rsidTr="002C2512">
        <w:trPr>
          <w:trHeight w:val="1481"/>
        </w:trPr>
        <w:tc>
          <w:tcPr>
            <w:tcW w:w="2173" w:type="pct"/>
            <w:vMerge/>
            <w:tcBorders>
              <w:right w:val="single" w:sz="4" w:space="0" w:color="auto"/>
            </w:tcBorders>
            <w:tcMar>
              <w:top w:w="0" w:type="dxa"/>
              <w:left w:w="108" w:type="dxa"/>
              <w:bottom w:w="0" w:type="dxa"/>
              <w:right w:w="108" w:type="dxa"/>
            </w:tcMar>
            <w:vAlign w:val="center"/>
          </w:tcPr>
          <w:p w14:paraId="06FED9E7" w14:textId="77777777" w:rsidR="00767F41" w:rsidRPr="0080246D" w:rsidRDefault="00767F41" w:rsidP="00767F41">
            <w:pPr>
              <w:rPr>
                <w:rFonts w:cstheme="minorHAnsi"/>
                <w:b/>
                <w:bCs/>
                <w:sz w:val="22"/>
                <w:szCs w:val="22"/>
              </w:rPr>
            </w:pPr>
          </w:p>
        </w:tc>
        <w:tc>
          <w:tcPr>
            <w:tcW w:w="1891" w:type="pct"/>
            <w:tcBorders>
              <w:top w:val="single" w:sz="4" w:space="0" w:color="auto"/>
              <w:left w:val="single" w:sz="4" w:space="0" w:color="auto"/>
              <w:bottom w:val="single" w:sz="4" w:space="0" w:color="auto"/>
            </w:tcBorders>
            <w:vAlign w:val="center"/>
          </w:tcPr>
          <w:p w14:paraId="79FA2E08" w14:textId="25E1D479" w:rsidR="00767F41" w:rsidRPr="0080246D" w:rsidRDefault="00767F41" w:rsidP="00767F41">
            <w:pPr>
              <w:rPr>
                <w:rFonts w:cstheme="minorHAnsi"/>
                <w:sz w:val="22"/>
                <w:szCs w:val="22"/>
              </w:rPr>
            </w:pPr>
            <w:r w:rsidRPr="0080246D">
              <w:rPr>
                <w:rFonts w:cstheme="minorHAnsi"/>
                <w:sz w:val="22"/>
                <w:szCs w:val="22"/>
              </w:rPr>
              <w:t>Un seul spécialiste des domaines de l’étude sont dans l’équipe</w:t>
            </w:r>
          </w:p>
        </w:tc>
        <w:tc>
          <w:tcPr>
            <w:tcW w:w="936" w:type="pct"/>
            <w:tcBorders>
              <w:top w:val="single" w:sz="4" w:space="0" w:color="auto"/>
              <w:bottom w:val="single" w:sz="4" w:space="0" w:color="auto"/>
            </w:tcBorders>
            <w:tcMar>
              <w:top w:w="0" w:type="dxa"/>
              <w:left w:w="108" w:type="dxa"/>
              <w:bottom w:w="0" w:type="dxa"/>
              <w:right w:w="108" w:type="dxa"/>
            </w:tcMar>
            <w:vAlign w:val="center"/>
          </w:tcPr>
          <w:p w14:paraId="0DC4F52D" w14:textId="45FB8406" w:rsidR="00767F41" w:rsidRPr="0080246D" w:rsidRDefault="00F018D6" w:rsidP="00CE4450">
            <w:pPr>
              <w:jc w:val="center"/>
              <w:rPr>
                <w:rFonts w:cstheme="minorHAnsi"/>
                <w:sz w:val="22"/>
                <w:szCs w:val="22"/>
              </w:rPr>
            </w:pPr>
            <w:r w:rsidRPr="0080246D">
              <w:rPr>
                <w:rFonts w:cstheme="minorHAnsi"/>
                <w:sz w:val="22"/>
                <w:szCs w:val="22"/>
              </w:rPr>
              <w:t>15</w:t>
            </w:r>
          </w:p>
        </w:tc>
      </w:tr>
      <w:tr w:rsidR="00767F41" w:rsidRPr="0080246D" w14:paraId="5FFB48A7" w14:textId="77777777" w:rsidTr="002C2512">
        <w:trPr>
          <w:trHeight w:val="840"/>
        </w:trPr>
        <w:tc>
          <w:tcPr>
            <w:tcW w:w="2173" w:type="pct"/>
            <w:vMerge/>
            <w:tcBorders>
              <w:right w:val="single" w:sz="4" w:space="0" w:color="auto"/>
            </w:tcBorders>
            <w:tcMar>
              <w:top w:w="0" w:type="dxa"/>
              <w:left w:w="108" w:type="dxa"/>
              <w:bottom w:w="0" w:type="dxa"/>
              <w:right w:w="108" w:type="dxa"/>
            </w:tcMar>
            <w:vAlign w:val="center"/>
          </w:tcPr>
          <w:p w14:paraId="392EF832" w14:textId="77777777" w:rsidR="00767F41" w:rsidRPr="0080246D" w:rsidRDefault="00767F41" w:rsidP="00767F41">
            <w:pPr>
              <w:rPr>
                <w:rFonts w:cstheme="minorHAnsi"/>
                <w:b/>
                <w:bCs/>
                <w:sz w:val="22"/>
                <w:szCs w:val="22"/>
              </w:rPr>
            </w:pPr>
          </w:p>
        </w:tc>
        <w:tc>
          <w:tcPr>
            <w:tcW w:w="1891" w:type="pct"/>
            <w:tcBorders>
              <w:top w:val="single" w:sz="4" w:space="0" w:color="auto"/>
              <w:left w:val="single" w:sz="4" w:space="0" w:color="auto"/>
            </w:tcBorders>
            <w:vAlign w:val="center"/>
          </w:tcPr>
          <w:p w14:paraId="59F46669" w14:textId="63A0EFE9" w:rsidR="00767F41" w:rsidRPr="0080246D" w:rsidRDefault="00767F41" w:rsidP="00767F41">
            <w:pPr>
              <w:rPr>
                <w:rFonts w:cstheme="minorHAnsi"/>
                <w:sz w:val="22"/>
                <w:szCs w:val="22"/>
              </w:rPr>
            </w:pPr>
            <w:r w:rsidRPr="0080246D">
              <w:rPr>
                <w:rFonts w:cstheme="minorHAnsi"/>
                <w:sz w:val="22"/>
                <w:szCs w:val="22"/>
              </w:rPr>
              <w:t>Aucun spécialiste   des domaines de l’étude n’est dans l’équipe</w:t>
            </w:r>
          </w:p>
        </w:tc>
        <w:tc>
          <w:tcPr>
            <w:tcW w:w="936" w:type="pct"/>
            <w:tcBorders>
              <w:top w:val="single" w:sz="4" w:space="0" w:color="auto"/>
            </w:tcBorders>
            <w:tcMar>
              <w:top w:w="0" w:type="dxa"/>
              <w:left w:w="108" w:type="dxa"/>
              <w:bottom w:w="0" w:type="dxa"/>
              <w:right w:w="108" w:type="dxa"/>
            </w:tcMar>
            <w:vAlign w:val="center"/>
          </w:tcPr>
          <w:p w14:paraId="1009B898" w14:textId="18167464" w:rsidR="00767F41" w:rsidRPr="0080246D" w:rsidRDefault="00CE4450" w:rsidP="00CE4450">
            <w:pPr>
              <w:jc w:val="center"/>
              <w:rPr>
                <w:rFonts w:cstheme="minorHAnsi"/>
                <w:sz w:val="22"/>
                <w:szCs w:val="22"/>
              </w:rPr>
            </w:pPr>
            <w:r w:rsidRPr="0080246D">
              <w:rPr>
                <w:rFonts w:cstheme="minorHAnsi"/>
                <w:sz w:val="22"/>
                <w:szCs w:val="22"/>
              </w:rPr>
              <w:t>00</w:t>
            </w:r>
          </w:p>
        </w:tc>
      </w:tr>
      <w:tr w:rsidR="003C4C8A" w:rsidRPr="0080246D" w14:paraId="45E18CA5" w14:textId="77777777" w:rsidTr="002C2512">
        <w:tc>
          <w:tcPr>
            <w:tcW w:w="2173" w:type="pct"/>
            <w:vMerge w:val="restart"/>
            <w:tcBorders>
              <w:right w:val="single" w:sz="4" w:space="0" w:color="auto"/>
            </w:tcBorders>
            <w:tcMar>
              <w:top w:w="0" w:type="dxa"/>
              <w:left w:w="108" w:type="dxa"/>
              <w:bottom w:w="0" w:type="dxa"/>
              <w:right w:w="108" w:type="dxa"/>
            </w:tcMar>
            <w:vAlign w:val="center"/>
          </w:tcPr>
          <w:p w14:paraId="63FAA1BA" w14:textId="48A71F43" w:rsidR="003C4C8A" w:rsidRPr="0080246D" w:rsidRDefault="003C4C8A" w:rsidP="00EA02E4">
            <w:pPr>
              <w:rPr>
                <w:rFonts w:cstheme="minorHAnsi"/>
                <w:b/>
                <w:bCs/>
                <w:sz w:val="22"/>
                <w:szCs w:val="22"/>
              </w:rPr>
            </w:pPr>
            <w:r w:rsidRPr="0080246D">
              <w:rPr>
                <w:rFonts w:cstheme="minorHAnsi"/>
                <w:b/>
                <w:bCs/>
                <w:sz w:val="22"/>
                <w:szCs w:val="22"/>
              </w:rPr>
              <w:t>Expérience du bureau d’études dans la conduite des évaluations des projets (20pts)</w:t>
            </w:r>
          </w:p>
        </w:tc>
        <w:tc>
          <w:tcPr>
            <w:tcW w:w="1891" w:type="pct"/>
            <w:tcBorders>
              <w:left w:val="single" w:sz="4" w:space="0" w:color="auto"/>
            </w:tcBorders>
          </w:tcPr>
          <w:p w14:paraId="211B3630" w14:textId="3CDC6D57" w:rsidR="003C4C8A" w:rsidRPr="0080246D" w:rsidRDefault="003C4C8A" w:rsidP="00EA02E4">
            <w:pPr>
              <w:rPr>
                <w:rFonts w:cstheme="minorHAnsi"/>
                <w:sz w:val="22"/>
                <w:szCs w:val="22"/>
              </w:rPr>
            </w:pPr>
            <w:r w:rsidRPr="0080246D">
              <w:rPr>
                <w:rFonts w:cstheme="minorHAnsi"/>
                <w:sz w:val="22"/>
                <w:szCs w:val="22"/>
              </w:rPr>
              <w:t xml:space="preserve">Cinq (5) réalisations d’évaluations des projets </w:t>
            </w:r>
          </w:p>
        </w:tc>
        <w:tc>
          <w:tcPr>
            <w:tcW w:w="936" w:type="pct"/>
            <w:tcMar>
              <w:top w:w="0" w:type="dxa"/>
              <w:left w:w="108" w:type="dxa"/>
              <w:bottom w:w="0" w:type="dxa"/>
              <w:right w:w="108" w:type="dxa"/>
            </w:tcMar>
            <w:vAlign w:val="center"/>
          </w:tcPr>
          <w:p w14:paraId="2BFA8C35" w14:textId="3FFF040D" w:rsidR="003C4C8A" w:rsidRPr="0080246D" w:rsidRDefault="003C4C8A" w:rsidP="003C4C8A">
            <w:pPr>
              <w:jc w:val="center"/>
              <w:rPr>
                <w:rFonts w:cstheme="minorHAnsi"/>
                <w:sz w:val="22"/>
                <w:szCs w:val="22"/>
              </w:rPr>
            </w:pPr>
            <w:r w:rsidRPr="0080246D">
              <w:rPr>
                <w:rFonts w:cstheme="minorHAnsi"/>
                <w:sz w:val="22"/>
                <w:szCs w:val="22"/>
              </w:rPr>
              <w:t>20</w:t>
            </w:r>
          </w:p>
        </w:tc>
      </w:tr>
      <w:tr w:rsidR="003C4C8A" w:rsidRPr="0080246D" w14:paraId="70386755" w14:textId="77777777" w:rsidTr="002C2512">
        <w:tc>
          <w:tcPr>
            <w:tcW w:w="2173" w:type="pct"/>
            <w:vMerge/>
            <w:tcBorders>
              <w:right w:val="single" w:sz="4" w:space="0" w:color="auto"/>
            </w:tcBorders>
            <w:tcMar>
              <w:top w:w="0" w:type="dxa"/>
              <w:left w:w="108" w:type="dxa"/>
              <w:bottom w:w="0" w:type="dxa"/>
              <w:right w:w="108" w:type="dxa"/>
            </w:tcMar>
            <w:vAlign w:val="center"/>
          </w:tcPr>
          <w:p w14:paraId="2AEAA753" w14:textId="77777777" w:rsidR="003C4C8A" w:rsidRPr="0080246D" w:rsidRDefault="003C4C8A" w:rsidP="00EA02E4">
            <w:pPr>
              <w:rPr>
                <w:rFonts w:cstheme="minorHAnsi"/>
                <w:sz w:val="22"/>
                <w:szCs w:val="22"/>
              </w:rPr>
            </w:pPr>
          </w:p>
        </w:tc>
        <w:tc>
          <w:tcPr>
            <w:tcW w:w="1891" w:type="pct"/>
            <w:tcBorders>
              <w:left w:val="single" w:sz="4" w:space="0" w:color="auto"/>
            </w:tcBorders>
          </w:tcPr>
          <w:p w14:paraId="0721F18C" w14:textId="6F5B66DD" w:rsidR="003C4C8A" w:rsidRPr="0080246D" w:rsidRDefault="003C4C8A" w:rsidP="00EA02E4">
            <w:pPr>
              <w:rPr>
                <w:rFonts w:cstheme="minorHAnsi"/>
                <w:sz w:val="22"/>
                <w:szCs w:val="22"/>
              </w:rPr>
            </w:pPr>
            <w:r w:rsidRPr="0080246D">
              <w:rPr>
                <w:rFonts w:cstheme="minorHAnsi"/>
                <w:sz w:val="22"/>
                <w:szCs w:val="22"/>
              </w:rPr>
              <w:t xml:space="preserve">Trois (3) réalisations d’évaluations des projets </w:t>
            </w:r>
          </w:p>
        </w:tc>
        <w:tc>
          <w:tcPr>
            <w:tcW w:w="936" w:type="pct"/>
            <w:tcMar>
              <w:top w:w="0" w:type="dxa"/>
              <w:left w:w="108" w:type="dxa"/>
              <w:bottom w:w="0" w:type="dxa"/>
              <w:right w:w="108" w:type="dxa"/>
            </w:tcMar>
            <w:vAlign w:val="center"/>
          </w:tcPr>
          <w:p w14:paraId="3C3C4BE5" w14:textId="44D3F639" w:rsidR="003C4C8A" w:rsidRPr="0080246D" w:rsidRDefault="003C4C8A" w:rsidP="003C4C8A">
            <w:pPr>
              <w:jc w:val="center"/>
              <w:rPr>
                <w:rFonts w:cstheme="minorHAnsi"/>
                <w:sz w:val="22"/>
                <w:szCs w:val="22"/>
              </w:rPr>
            </w:pPr>
            <w:r w:rsidRPr="0080246D">
              <w:rPr>
                <w:rFonts w:cstheme="minorHAnsi"/>
                <w:sz w:val="22"/>
                <w:szCs w:val="22"/>
              </w:rPr>
              <w:t>10</w:t>
            </w:r>
          </w:p>
        </w:tc>
      </w:tr>
      <w:tr w:rsidR="003C4C8A" w:rsidRPr="0080246D" w14:paraId="70AD9AB7" w14:textId="77777777" w:rsidTr="002C2512">
        <w:tc>
          <w:tcPr>
            <w:tcW w:w="2173" w:type="pct"/>
            <w:vMerge/>
            <w:tcBorders>
              <w:right w:val="single" w:sz="4" w:space="0" w:color="auto"/>
            </w:tcBorders>
            <w:tcMar>
              <w:top w:w="0" w:type="dxa"/>
              <w:left w:w="108" w:type="dxa"/>
              <w:bottom w:w="0" w:type="dxa"/>
              <w:right w:w="108" w:type="dxa"/>
            </w:tcMar>
            <w:vAlign w:val="center"/>
          </w:tcPr>
          <w:p w14:paraId="6117F6E0" w14:textId="77777777" w:rsidR="003C4C8A" w:rsidRPr="0080246D" w:rsidRDefault="003C4C8A" w:rsidP="00EA02E4">
            <w:pPr>
              <w:rPr>
                <w:rFonts w:cstheme="minorHAnsi"/>
                <w:sz w:val="22"/>
                <w:szCs w:val="22"/>
              </w:rPr>
            </w:pPr>
          </w:p>
        </w:tc>
        <w:tc>
          <w:tcPr>
            <w:tcW w:w="1891" w:type="pct"/>
            <w:tcBorders>
              <w:left w:val="single" w:sz="4" w:space="0" w:color="auto"/>
            </w:tcBorders>
          </w:tcPr>
          <w:p w14:paraId="6F66D25A" w14:textId="20861856" w:rsidR="003C4C8A" w:rsidRPr="0080246D" w:rsidRDefault="003C4C8A" w:rsidP="00EA02E4">
            <w:pPr>
              <w:rPr>
                <w:rFonts w:cstheme="minorHAnsi"/>
                <w:sz w:val="22"/>
                <w:szCs w:val="22"/>
              </w:rPr>
            </w:pPr>
            <w:r w:rsidRPr="0080246D">
              <w:rPr>
                <w:rFonts w:cstheme="minorHAnsi"/>
                <w:sz w:val="22"/>
                <w:szCs w:val="22"/>
              </w:rPr>
              <w:t>Deux (2) réalisations d’évaluations des projets du système de santé humaine ou animale dans un contexte africain de préférence</w:t>
            </w:r>
          </w:p>
        </w:tc>
        <w:tc>
          <w:tcPr>
            <w:tcW w:w="936" w:type="pct"/>
            <w:tcMar>
              <w:top w:w="0" w:type="dxa"/>
              <w:left w:w="108" w:type="dxa"/>
              <w:bottom w:w="0" w:type="dxa"/>
              <w:right w:w="108" w:type="dxa"/>
            </w:tcMar>
            <w:vAlign w:val="center"/>
          </w:tcPr>
          <w:p w14:paraId="56A0C4E0" w14:textId="166E0810" w:rsidR="003C4C8A" w:rsidRPr="0080246D" w:rsidRDefault="003C4C8A" w:rsidP="003C4C8A">
            <w:pPr>
              <w:jc w:val="center"/>
              <w:rPr>
                <w:rFonts w:cstheme="minorHAnsi"/>
                <w:sz w:val="22"/>
                <w:szCs w:val="22"/>
              </w:rPr>
            </w:pPr>
            <w:r w:rsidRPr="0080246D">
              <w:rPr>
                <w:rFonts w:cstheme="minorHAnsi"/>
                <w:sz w:val="22"/>
                <w:szCs w:val="22"/>
              </w:rPr>
              <w:t>05</w:t>
            </w:r>
          </w:p>
        </w:tc>
      </w:tr>
      <w:tr w:rsidR="003C4C8A" w:rsidRPr="0080246D" w14:paraId="2C77FD2B" w14:textId="77777777" w:rsidTr="002C2512">
        <w:tc>
          <w:tcPr>
            <w:tcW w:w="2173" w:type="pct"/>
            <w:vMerge/>
            <w:tcBorders>
              <w:right w:val="single" w:sz="4" w:space="0" w:color="auto"/>
            </w:tcBorders>
            <w:tcMar>
              <w:top w:w="0" w:type="dxa"/>
              <w:left w:w="108" w:type="dxa"/>
              <w:bottom w:w="0" w:type="dxa"/>
              <w:right w:w="108" w:type="dxa"/>
            </w:tcMar>
            <w:vAlign w:val="center"/>
          </w:tcPr>
          <w:p w14:paraId="7F164FC9" w14:textId="77777777" w:rsidR="003C4C8A" w:rsidRPr="0080246D" w:rsidRDefault="003C4C8A" w:rsidP="00EA02E4">
            <w:pPr>
              <w:rPr>
                <w:rFonts w:cstheme="minorHAnsi"/>
                <w:sz w:val="22"/>
                <w:szCs w:val="22"/>
              </w:rPr>
            </w:pPr>
          </w:p>
        </w:tc>
        <w:tc>
          <w:tcPr>
            <w:tcW w:w="1891" w:type="pct"/>
            <w:tcBorders>
              <w:left w:val="single" w:sz="4" w:space="0" w:color="auto"/>
            </w:tcBorders>
          </w:tcPr>
          <w:p w14:paraId="15FFD30D" w14:textId="53604C05" w:rsidR="003C4C8A" w:rsidRPr="0080246D" w:rsidRDefault="003C4C8A" w:rsidP="00EA02E4">
            <w:pPr>
              <w:rPr>
                <w:rFonts w:cstheme="minorHAnsi"/>
                <w:sz w:val="22"/>
                <w:szCs w:val="22"/>
              </w:rPr>
            </w:pPr>
            <w:r w:rsidRPr="0080246D">
              <w:rPr>
                <w:rFonts w:cstheme="minorHAnsi"/>
                <w:sz w:val="22"/>
                <w:szCs w:val="22"/>
              </w:rPr>
              <w:t>Un à zéro (1 à 0) réalisations d’évaluations des projets du système de santé humaine ou animale dans un contexte africain de préférence</w:t>
            </w:r>
          </w:p>
        </w:tc>
        <w:tc>
          <w:tcPr>
            <w:tcW w:w="936" w:type="pct"/>
            <w:tcMar>
              <w:top w:w="0" w:type="dxa"/>
              <w:left w:w="108" w:type="dxa"/>
              <w:bottom w:w="0" w:type="dxa"/>
              <w:right w:w="108" w:type="dxa"/>
            </w:tcMar>
            <w:vAlign w:val="center"/>
          </w:tcPr>
          <w:p w14:paraId="1250451C" w14:textId="190A263E" w:rsidR="003C4C8A" w:rsidRPr="0080246D" w:rsidRDefault="003C4C8A" w:rsidP="003C4C8A">
            <w:pPr>
              <w:jc w:val="center"/>
              <w:rPr>
                <w:rFonts w:cstheme="minorHAnsi"/>
                <w:sz w:val="22"/>
                <w:szCs w:val="22"/>
              </w:rPr>
            </w:pPr>
            <w:r w:rsidRPr="0080246D">
              <w:rPr>
                <w:rFonts w:cstheme="minorHAnsi"/>
                <w:sz w:val="22"/>
                <w:szCs w:val="22"/>
              </w:rPr>
              <w:t>00</w:t>
            </w:r>
          </w:p>
        </w:tc>
      </w:tr>
      <w:tr w:rsidR="003C4C8A" w:rsidRPr="0080246D" w14:paraId="325CA12F" w14:textId="77777777" w:rsidTr="002C2512">
        <w:tc>
          <w:tcPr>
            <w:tcW w:w="2173" w:type="pct"/>
            <w:tcBorders>
              <w:right w:val="single" w:sz="4" w:space="0" w:color="auto"/>
            </w:tcBorders>
            <w:tcMar>
              <w:top w:w="0" w:type="dxa"/>
              <w:left w:w="108" w:type="dxa"/>
              <w:bottom w:w="0" w:type="dxa"/>
              <w:right w:w="108" w:type="dxa"/>
            </w:tcMar>
            <w:vAlign w:val="center"/>
          </w:tcPr>
          <w:p w14:paraId="5F65950D" w14:textId="382E2677" w:rsidR="0096773A" w:rsidRPr="0080246D" w:rsidRDefault="0096773A" w:rsidP="007B23F1">
            <w:pPr>
              <w:rPr>
                <w:rFonts w:cstheme="minorHAnsi"/>
                <w:sz w:val="22"/>
                <w:szCs w:val="22"/>
              </w:rPr>
            </w:pPr>
            <w:r w:rsidRPr="0080246D">
              <w:rPr>
                <w:rFonts w:cstheme="minorHAnsi"/>
                <w:sz w:val="22"/>
                <w:szCs w:val="22"/>
              </w:rPr>
              <w:t>TOTAL</w:t>
            </w:r>
          </w:p>
        </w:tc>
        <w:tc>
          <w:tcPr>
            <w:tcW w:w="1891" w:type="pct"/>
            <w:tcBorders>
              <w:left w:val="single" w:sz="4" w:space="0" w:color="auto"/>
            </w:tcBorders>
            <w:vAlign w:val="center"/>
          </w:tcPr>
          <w:p w14:paraId="5E3D4FE5" w14:textId="77777777" w:rsidR="0096773A" w:rsidRPr="0080246D" w:rsidRDefault="0096773A" w:rsidP="0096773A">
            <w:pPr>
              <w:rPr>
                <w:rFonts w:cstheme="minorHAnsi"/>
                <w:sz w:val="22"/>
                <w:szCs w:val="22"/>
              </w:rPr>
            </w:pPr>
          </w:p>
        </w:tc>
        <w:tc>
          <w:tcPr>
            <w:tcW w:w="936" w:type="pct"/>
            <w:tcMar>
              <w:top w:w="0" w:type="dxa"/>
              <w:left w:w="108" w:type="dxa"/>
              <w:bottom w:w="0" w:type="dxa"/>
              <w:right w:w="108" w:type="dxa"/>
            </w:tcMar>
            <w:hideMark/>
          </w:tcPr>
          <w:p w14:paraId="5713EC49" w14:textId="5068C43E" w:rsidR="0096773A" w:rsidRPr="0080246D" w:rsidRDefault="0096773A" w:rsidP="007B23F1">
            <w:pPr>
              <w:jc w:val="center"/>
              <w:rPr>
                <w:rFonts w:cstheme="minorHAnsi"/>
                <w:sz w:val="22"/>
                <w:szCs w:val="22"/>
              </w:rPr>
            </w:pPr>
            <w:r w:rsidRPr="0080246D">
              <w:rPr>
                <w:rFonts w:cstheme="minorHAnsi"/>
                <w:sz w:val="22"/>
                <w:szCs w:val="22"/>
              </w:rPr>
              <w:t>100</w:t>
            </w:r>
          </w:p>
        </w:tc>
      </w:tr>
    </w:tbl>
    <w:p w14:paraId="6C0A1A8F" w14:textId="77777777" w:rsidR="00805414" w:rsidRPr="00FB168D" w:rsidRDefault="00805414" w:rsidP="007B23F1">
      <w:pPr>
        <w:spacing w:line="276" w:lineRule="auto"/>
        <w:jc w:val="both"/>
        <w:rPr>
          <w:rFonts w:cstheme="minorHAnsi"/>
          <w:sz w:val="22"/>
          <w:szCs w:val="22"/>
        </w:rPr>
      </w:pPr>
    </w:p>
    <w:p w14:paraId="7B1725CC" w14:textId="5C6A108F" w:rsidR="007B23F1" w:rsidRPr="00FB168D" w:rsidRDefault="007B23F1" w:rsidP="007B23F1">
      <w:pPr>
        <w:spacing w:line="276" w:lineRule="auto"/>
        <w:jc w:val="both"/>
        <w:rPr>
          <w:rFonts w:cstheme="minorHAnsi"/>
          <w:sz w:val="22"/>
          <w:szCs w:val="22"/>
        </w:rPr>
      </w:pPr>
      <w:r w:rsidRPr="00FB168D">
        <w:rPr>
          <w:rFonts w:cstheme="minorHAnsi"/>
          <w:sz w:val="22"/>
          <w:szCs w:val="22"/>
        </w:rPr>
        <w:t>NB : Toute offre dont le score technique est inférieur à 70 points sera éliminée.</w:t>
      </w:r>
    </w:p>
    <w:p w14:paraId="4211F680" w14:textId="77777777" w:rsidR="007B23F1" w:rsidRPr="00FB168D" w:rsidRDefault="007B23F1" w:rsidP="007B23F1">
      <w:pPr>
        <w:spacing w:line="276" w:lineRule="auto"/>
        <w:jc w:val="both"/>
        <w:rPr>
          <w:rFonts w:cstheme="minorHAnsi"/>
          <w:sz w:val="22"/>
          <w:szCs w:val="22"/>
        </w:rPr>
      </w:pPr>
      <w:r w:rsidRPr="00FB168D">
        <w:rPr>
          <w:rFonts w:cstheme="minorHAnsi"/>
          <w:sz w:val="22"/>
          <w:szCs w:val="22"/>
        </w:rPr>
        <w:t xml:space="preserve">Les notes techniques sont pondérées à 70%. Les scores financiers sont pondérés à 30%. </w:t>
      </w:r>
    </w:p>
    <w:p w14:paraId="462A5BD9" w14:textId="77777777" w:rsidR="007B23F1" w:rsidRPr="00FB168D" w:rsidRDefault="007B23F1" w:rsidP="007B23F1">
      <w:pPr>
        <w:spacing w:line="276" w:lineRule="auto"/>
        <w:jc w:val="both"/>
        <w:rPr>
          <w:rFonts w:cstheme="minorHAnsi"/>
          <w:sz w:val="22"/>
          <w:szCs w:val="22"/>
        </w:rPr>
      </w:pPr>
      <w:r w:rsidRPr="00FB168D">
        <w:rPr>
          <w:rFonts w:cstheme="minorHAnsi"/>
          <w:sz w:val="22"/>
          <w:szCs w:val="22"/>
        </w:rPr>
        <w:t>L'évaluation financière sera effectuée pour les propositions qui passent l'évaluation technique. Le prix le plus bas se voit attribuer le maximum de points et tous les autres soumissionnaires sont classés au prorata de l'offre la plus basse sur la base suivante :</w:t>
      </w:r>
    </w:p>
    <w:p w14:paraId="62127B62" w14:textId="77777777" w:rsidR="007B23F1" w:rsidRPr="00FB168D" w:rsidRDefault="007B23F1" w:rsidP="007B23F1">
      <w:pPr>
        <w:spacing w:line="276" w:lineRule="auto"/>
        <w:jc w:val="center"/>
        <w:rPr>
          <w:rFonts w:eastAsia="Calibri" w:cstheme="minorHAnsi"/>
          <w:sz w:val="22"/>
          <w:szCs w:val="22"/>
        </w:rPr>
      </w:pPr>
      <w:r w:rsidRPr="00FB168D">
        <w:rPr>
          <w:rFonts w:eastAsia="Calibri" w:cstheme="minorHAnsi"/>
          <w:sz w:val="22"/>
          <w:szCs w:val="22"/>
          <w:u w:val="single"/>
        </w:rPr>
        <w:t>Coût du soumissionnaire ayant proposé le coût le plus bas</w:t>
      </w:r>
      <w:r w:rsidRPr="00FB168D">
        <w:rPr>
          <w:rFonts w:eastAsia="Calibri" w:cstheme="minorHAnsi"/>
          <w:sz w:val="22"/>
          <w:szCs w:val="22"/>
        </w:rPr>
        <w:t>*100</w:t>
      </w:r>
    </w:p>
    <w:p w14:paraId="7A14397D" w14:textId="77777777" w:rsidR="007B23F1" w:rsidRPr="00FB168D" w:rsidRDefault="007B23F1" w:rsidP="007B23F1">
      <w:pPr>
        <w:spacing w:line="276" w:lineRule="auto"/>
        <w:jc w:val="center"/>
        <w:rPr>
          <w:rFonts w:eastAsia="Calibri" w:cstheme="minorHAnsi"/>
          <w:sz w:val="22"/>
          <w:szCs w:val="22"/>
        </w:rPr>
      </w:pPr>
      <w:r w:rsidRPr="00FB168D">
        <w:rPr>
          <w:rFonts w:eastAsia="Calibri" w:cstheme="minorHAnsi"/>
          <w:sz w:val="22"/>
          <w:szCs w:val="22"/>
        </w:rPr>
        <w:t>Coût du soumissionnaire de l’offre considérée</w:t>
      </w:r>
    </w:p>
    <w:p w14:paraId="74EE56E9" w14:textId="77777777" w:rsidR="007B23F1" w:rsidRPr="00FB168D" w:rsidRDefault="007B23F1" w:rsidP="007B23F1">
      <w:pPr>
        <w:spacing w:line="276" w:lineRule="auto"/>
        <w:rPr>
          <w:rFonts w:cstheme="minorHAnsi"/>
          <w:i/>
          <w:sz w:val="22"/>
          <w:szCs w:val="22"/>
        </w:rPr>
      </w:pPr>
      <w:r w:rsidRPr="00FB168D">
        <w:rPr>
          <w:rFonts w:cstheme="minorHAnsi"/>
          <w:i/>
          <w:sz w:val="22"/>
          <w:szCs w:val="22"/>
        </w:rPr>
        <w:t>100 = score du soumissionnaire (coût le plus bas)</w:t>
      </w:r>
    </w:p>
    <w:p w14:paraId="300F3C62" w14:textId="77777777" w:rsidR="00F47317" w:rsidRPr="00FB168D" w:rsidRDefault="00F47317" w:rsidP="00F47317">
      <w:pPr>
        <w:jc w:val="both"/>
        <w:rPr>
          <w:rFonts w:cstheme="minorHAnsi"/>
          <w:sz w:val="22"/>
          <w:szCs w:val="22"/>
        </w:rPr>
      </w:pPr>
    </w:p>
    <w:p w14:paraId="1C31EB40" w14:textId="53B470B3" w:rsidR="00537712" w:rsidRPr="00FB168D" w:rsidRDefault="007B23F1" w:rsidP="00F47317">
      <w:pPr>
        <w:jc w:val="both"/>
        <w:rPr>
          <w:rFonts w:cstheme="minorHAnsi"/>
          <w:sz w:val="22"/>
          <w:szCs w:val="22"/>
        </w:rPr>
      </w:pPr>
      <w:r w:rsidRPr="00FB168D">
        <w:rPr>
          <w:rFonts w:cstheme="minorHAnsi"/>
          <w:sz w:val="22"/>
          <w:szCs w:val="22"/>
        </w:rPr>
        <w:t xml:space="preserve">Les offres technique et financière doivent être transmises (en fichier séparé) par voie électronique à </w:t>
      </w:r>
      <w:hyperlink r:id="rId12" w:history="1">
        <w:r w:rsidRPr="00FB168D">
          <w:rPr>
            <w:rStyle w:val="Hyperlink"/>
            <w:rFonts w:cstheme="minorHAnsi"/>
            <w:sz w:val="22"/>
            <w:szCs w:val="22"/>
          </w:rPr>
          <w:t>maliprocurement@snv.org</w:t>
        </w:r>
      </w:hyperlink>
      <w:r w:rsidRPr="00FB168D">
        <w:rPr>
          <w:rFonts w:cstheme="minorHAnsi"/>
          <w:sz w:val="22"/>
          <w:szCs w:val="22"/>
        </w:rPr>
        <w:t xml:space="preserve"> </w:t>
      </w:r>
      <w:r w:rsidR="00537712" w:rsidRPr="00FB168D">
        <w:rPr>
          <w:rFonts w:cstheme="minorHAnsi"/>
          <w:sz w:val="22"/>
          <w:szCs w:val="22"/>
        </w:rPr>
        <w:t xml:space="preserve">avec pour objet : « </w:t>
      </w:r>
      <w:r w:rsidR="00F47317" w:rsidRPr="00FB168D">
        <w:rPr>
          <w:rFonts w:cstheme="minorHAnsi"/>
          <w:sz w:val="22"/>
          <w:szCs w:val="22"/>
        </w:rPr>
        <w:t>Etude de base du Projet Pilote Smoke Free Zone à Bamako »</w:t>
      </w:r>
      <w:r w:rsidR="00537712" w:rsidRPr="00FB168D">
        <w:rPr>
          <w:rFonts w:cstheme="minorHAnsi"/>
          <w:sz w:val="22"/>
          <w:szCs w:val="22"/>
        </w:rPr>
        <w:t>.</w:t>
      </w:r>
    </w:p>
    <w:p w14:paraId="421ABEC8" w14:textId="7AEEC8EC" w:rsidR="00537712" w:rsidRPr="009D49B2" w:rsidRDefault="00537712" w:rsidP="00537712">
      <w:pPr>
        <w:rPr>
          <w:rFonts w:cstheme="minorHAnsi"/>
          <w:b/>
          <w:bCs/>
          <w:sz w:val="22"/>
          <w:szCs w:val="22"/>
        </w:rPr>
      </w:pPr>
      <w:r w:rsidRPr="009D49B2">
        <w:rPr>
          <w:rFonts w:cstheme="minorHAnsi"/>
          <w:b/>
          <w:bCs/>
          <w:sz w:val="22"/>
          <w:szCs w:val="22"/>
        </w:rPr>
        <w:t xml:space="preserve">Date limite de soumission : le </w:t>
      </w:r>
      <w:r w:rsidR="00075630" w:rsidRPr="009D49B2">
        <w:rPr>
          <w:rFonts w:cstheme="minorHAnsi"/>
          <w:b/>
          <w:bCs/>
          <w:sz w:val="22"/>
          <w:szCs w:val="22"/>
        </w:rPr>
        <w:t>0</w:t>
      </w:r>
      <w:r w:rsidR="0080246D">
        <w:rPr>
          <w:rFonts w:cstheme="minorHAnsi"/>
          <w:b/>
          <w:bCs/>
          <w:sz w:val="22"/>
          <w:szCs w:val="22"/>
        </w:rPr>
        <w:t>5</w:t>
      </w:r>
      <w:r w:rsidR="00075630" w:rsidRPr="009D49B2">
        <w:rPr>
          <w:rFonts w:cstheme="minorHAnsi"/>
          <w:b/>
          <w:bCs/>
          <w:sz w:val="22"/>
          <w:szCs w:val="22"/>
        </w:rPr>
        <w:t xml:space="preserve"> </w:t>
      </w:r>
      <w:r w:rsidR="009D49B2" w:rsidRPr="009D49B2">
        <w:rPr>
          <w:rFonts w:cstheme="minorHAnsi"/>
          <w:b/>
          <w:bCs/>
          <w:sz w:val="22"/>
          <w:szCs w:val="22"/>
        </w:rPr>
        <w:t>septembre</w:t>
      </w:r>
      <w:r w:rsidR="00075630" w:rsidRPr="009D49B2">
        <w:rPr>
          <w:rFonts w:cstheme="minorHAnsi"/>
          <w:b/>
          <w:bCs/>
          <w:sz w:val="22"/>
          <w:szCs w:val="22"/>
        </w:rPr>
        <w:t xml:space="preserve"> </w:t>
      </w:r>
      <w:r w:rsidRPr="009D49B2">
        <w:rPr>
          <w:rFonts w:cstheme="minorHAnsi"/>
          <w:b/>
          <w:bCs/>
          <w:sz w:val="22"/>
          <w:szCs w:val="22"/>
        </w:rPr>
        <w:t>2025 à 17H00 GMT</w:t>
      </w:r>
    </w:p>
    <w:p w14:paraId="30668098" w14:textId="77777777" w:rsidR="009D49B2" w:rsidRDefault="009D49B2" w:rsidP="007B23F1">
      <w:pPr>
        <w:spacing w:line="276" w:lineRule="auto"/>
        <w:rPr>
          <w:rFonts w:cstheme="minorHAnsi"/>
          <w:sz w:val="22"/>
          <w:szCs w:val="22"/>
        </w:rPr>
      </w:pPr>
    </w:p>
    <w:p w14:paraId="03FA00BA" w14:textId="01DDADF0" w:rsidR="007B23F1" w:rsidRPr="00FB168D" w:rsidRDefault="007B23F1" w:rsidP="007B23F1">
      <w:pPr>
        <w:spacing w:line="276" w:lineRule="auto"/>
        <w:rPr>
          <w:rFonts w:cstheme="minorHAnsi"/>
          <w:sz w:val="22"/>
          <w:szCs w:val="22"/>
        </w:rPr>
      </w:pPr>
      <w:r w:rsidRPr="00FB168D">
        <w:rPr>
          <w:rFonts w:cstheme="minorHAnsi"/>
          <w:sz w:val="22"/>
          <w:szCs w:val="22"/>
        </w:rPr>
        <w:t>Note : Seules les candidatures présélectionnées, seront contactées.</w:t>
      </w:r>
    </w:p>
    <w:p w14:paraId="54030DA8" w14:textId="77777777" w:rsidR="00946164" w:rsidRPr="00FB168D" w:rsidRDefault="00946164" w:rsidP="003A1E28">
      <w:pPr>
        <w:spacing w:line="276" w:lineRule="auto"/>
        <w:rPr>
          <w:rFonts w:cstheme="minorHAnsi"/>
          <w:sz w:val="22"/>
          <w:szCs w:val="22"/>
        </w:rPr>
      </w:pPr>
    </w:p>
    <w:p w14:paraId="565A320E" w14:textId="128D5BAF" w:rsidR="002623EB" w:rsidRPr="00FB168D" w:rsidRDefault="007B23F1" w:rsidP="003A1E28">
      <w:pPr>
        <w:spacing w:line="276" w:lineRule="auto"/>
        <w:rPr>
          <w:rFonts w:cstheme="minorHAnsi"/>
          <w:sz w:val="22"/>
          <w:szCs w:val="22"/>
        </w:rPr>
      </w:pPr>
      <w:r w:rsidRPr="00FB168D">
        <w:rPr>
          <w:rFonts w:cstheme="minorHAnsi"/>
          <w:sz w:val="22"/>
          <w:szCs w:val="22"/>
        </w:rPr>
        <w:t>La SNV se réserve le droit de ne donner aucune suite à tout ou une partie du présent appel à candidature.</w:t>
      </w:r>
    </w:p>
    <w:p w14:paraId="64E4086D" w14:textId="253000B4" w:rsidR="002623EB" w:rsidRPr="00FB168D" w:rsidRDefault="00D34D91" w:rsidP="002623EB">
      <w:pPr>
        <w:pStyle w:val="Heading1"/>
        <w:rPr>
          <w:rFonts w:asciiTheme="minorHAnsi" w:hAnsiTheme="minorHAnsi" w:cstheme="minorHAnsi"/>
        </w:rPr>
      </w:pPr>
      <w:r w:rsidRPr="00FB168D">
        <w:rPr>
          <w:rFonts w:asciiTheme="minorHAnsi" w:hAnsiTheme="minorHAnsi" w:cstheme="minorHAnsi"/>
        </w:rPr>
        <w:lastRenderedPageBreak/>
        <w:t>Conformité aux exigences clés</w:t>
      </w:r>
    </w:p>
    <w:p w14:paraId="046D99AA" w14:textId="1F24D161" w:rsidR="007B23F1" w:rsidRPr="00FB168D" w:rsidRDefault="007B23F1" w:rsidP="00D34D91">
      <w:pPr>
        <w:spacing w:before="120" w:line="276" w:lineRule="auto"/>
        <w:jc w:val="both"/>
        <w:rPr>
          <w:rFonts w:cstheme="minorHAnsi"/>
          <w:sz w:val="22"/>
          <w:szCs w:val="22"/>
        </w:rPr>
      </w:pPr>
      <w:r w:rsidRPr="00FB168D">
        <w:rPr>
          <w:rFonts w:cstheme="minorHAnsi"/>
          <w:sz w:val="22"/>
          <w:szCs w:val="22"/>
        </w:rPr>
        <w:t>Le consultant ou partenaire retenu devra se conformer aux exigences suivantes tout au long de la mise en œuvre de la mission :</w:t>
      </w:r>
    </w:p>
    <w:p w14:paraId="7BACC2D4" w14:textId="77777777" w:rsidR="007B23F1" w:rsidRPr="00FB168D" w:rsidRDefault="007B23F1" w:rsidP="001D7A9A">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Sauvegardes environnementales et sociales</w:t>
      </w:r>
    </w:p>
    <w:p w14:paraId="04D6A943" w14:textId="5DA1B18A" w:rsidR="007B23F1" w:rsidRPr="00FB168D" w:rsidRDefault="007B23F1" w:rsidP="00D34D91">
      <w:pPr>
        <w:pStyle w:val="ListParagraph"/>
        <w:spacing w:before="120" w:line="276" w:lineRule="auto"/>
        <w:ind w:left="720"/>
        <w:jc w:val="both"/>
        <w:rPr>
          <w:rFonts w:asciiTheme="minorHAnsi" w:hAnsiTheme="minorHAnsi" w:cstheme="minorHAnsi"/>
          <w:sz w:val="22"/>
          <w:szCs w:val="22"/>
        </w:rPr>
      </w:pPr>
      <w:r w:rsidRPr="00FB168D">
        <w:rPr>
          <w:rFonts w:asciiTheme="minorHAnsi" w:hAnsiTheme="minorHAnsi" w:cstheme="minorHAnsi"/>
          <w:sz w:val="22"/>
          <w:szCs w:val="22"/>
        </w:rPr>
        <w:t>Le prestataire est tenu de respecter les normes environnementales et sociales de la SNV. Cela inclut la prévention des impacts négatifs sur l’environnement, la promotion de la durabilité, la sécurité des personnes impliquées dans les activités, ainsi que la non-discrimination, l’équité de genre et la protection des groupes vulnérables.</w:t>
      </w:r>
    </w:p>
    <w:p w14:paraId="3A282823" w14:textId="1226691C" w:rsidR="007B23F1" w:rsidRPr="00FB168D" w:rsidRDefault="007B23F1" w:rsidP="001D7A9A">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 xml:space="preserve">Lutte contre l’exploitation et les abus sexuels </w:t>
      </w:r>
    </w:p>
    <w:p w14:paraId="45828E35" w14:textId="34F95E41" w:rsidR="007B23F1" w:rsidRPr="00FB168D" w:rsidRDefault="007B23F1" w:rsidP="00D34D91">
      <w:pPr>
        <w:pStyle w:val="ListParagraph"/>
        <w:spacing w:before="120" w:line="276" w:lineRule="auto"/>
        <w:ind w:left="720"/>
        <w:jc w:val="both"/>
        <w:rPr>
          <w:rFonts w:asciiTheme="minorHAnsi" w:hAnsiTheme="minorHAnsi" w:cstheme="minorHAnsi"/>
          <w:sz w:val="22"/>
          <w:szCs w:val="22"/>
        </w:rPr>
      </w:pPr>
      <w:r w:rsidRPr="00FB168D">
        <w:rPr>
          <w:rFonts w:asciiTheme="minorHAnsi" w:hAnsiTheme="minorHAnsi" w:cstheme="minorHAnsi"/>
          <w:sz w:val="22"/>
          <w:szCs w:val="22"/>
        </w:rPr>
        <w:t>SNV applique une politique de tolérance zéro à l’égard de toute forme d’exploitation, d’abus ou de harcèlement sexuel. Le prestataire s’engage à prendre toutes les mesures nécessaires pour prévenir de tels comportements et à signaler tout incident conformément aux mécanismes de signalement mis en place.</w:t>
      </w:r>
    </w:p>
    <w:p w14:paraId="3C967014" w14:textId="77777777" w:rsidR="007B23F1" w:rsidRPr="00FB168D" w:rsidRDefault="007B23F1" w:rsidP="001D7A9A">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Protection des données et confidentialité</w:t>
      </w:r>
    </w:p>
    <w:p w14:paraId="7D803AD9" w14:textId="5EA32CC5" w:rsidR="007B23F1" w:rsidRPr="00FB168D" w:rsidRDefault="007B23F1" w:rsidP="00D34D91">
      <w:pPr>
        <w:pStyle w:val="ListParagraph"/>
        <w:spacing w:before="120" w:line="276" w:lineRule="auto"/>
        <w:ind w:left="720"/>
        <w:jc w:val="both"/>
        <w:rPr>
          <w:rFonts w:asciiTheme="minorHAnsi" w:hAnsiTheme="minorHAnsi" w:cstheme="minorHAnsi"/>
          <w:sz w:val="22"/>
          <w:szCs w:val="22"/>
        </w:rPr>
      </w:pPr>
      <w:r w:rsidRPr="00FB168D">
        <w:rPr>
          <w:rFonts w:asciiTheme="minorHAnsi" w:hAnsiTheme="minorHAnsi" w:cstheme="minorHAnsi"/>
          <w:sz w:val="22"/>
          <w:szCs w:val="22"/>
        </w:rPr>
        <w:t>Le prestataire devra garantir la confidentialité des données collectées ou partagées dans le cadre de la mission, et s’assurer que leur traitement est conforme aux législations nationales et aux standards éthiques de SNV.</w:t>
      </w:r>
    </w:p>
    <w:p w14:paraId="3B5E89B3" w14:textId="77777777" w:rsidR="007B23F1" w:rsidRPr="00FB168D" w:rsidRDefault="007B23F1" w:rsidP="001D7A9A">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Code de conduite et éthique professionnelle</w:t>
      </w:r>
    </w:p>
    <w:p w14:paraId="785F0745" w14:textId="32B82D00" w:rsidR="007B23F1" w:rsidRPr="00FB168D" w:rsidRDefault="007B23F1" w:rsidP="00D34D91">
      <w:pPr>
        <w:pStyle w:val="ListParagraph"/>
        <w:spacing w:before="120" w:line="276" w:lineRule="auto"/>
        <w:ind w:left="720"/>
        <w:jc w:val="both"/>
        <w:rPr>
          <w:rFonts w:asciiTheme="minorHAnsi" w:hAnsiTheme="minorHAnsi" w:cstheme="minorHAnsi"/>
          <w:sz w:val="22"/>
          <w:szCs w:val="22"/>
        </w:rPr>
      </w:pPr>
      <w:r w:rsidRPr="00FB168D">
        <w:rPr>
          <w:rFonts w:asciiTheme="minorHAnsi" w:hAnsiTheme="minorHAnsi" w:cstheme="minorHAnsi"/>
          <w:sz w:val="22"/>
          <w:szCs w:val="22"/>
        </w:rPr>
        <w:t>Le consultant devra agir avec intégrité, impartialité et transparence. Toute forme de corruption, de favoritisme ou de conflit d’intérêt est strictement proscrite. Il est également attendu du prestataire qu’il traite toutes les parties prenantes avec respect et dignité.</w:t>
      </w:r>
    </w:p>
    <w:p w14:paraId="70A6DC92" w14:textId="77777777" w:rsidR="007B23F1" w:rsidRPr="00FB168D" w:rsidRDefault="007B23F1" w:rsidP="001D7A9A">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Normes de sécurité</w:t>
      </w:r>
    </w:p>
    <w:p w14:paraId="6B7F964D" w14:textId="48605560" w:rsidR="007B23F1" w:rsidRPr="00FB168D" w:rsidRDefault="007B23F1" w:rsidP="00D34D91">
      <w:pPr>
        <w:pStyle w:val="ListParagraph"/>
        <w:spacing w:before="120" w:line="276" w:lineRule="auto"/>
        <w:ind w:left="720"/>
        <w:jc w:val="both"/>
        <w:rPr>
          <w:rFonts w:asciiTheme="minorHAnsi" w:hAnsiTheme="minorHAnsi" w:cstheme="minorHAnsi"/>
          <w:sz w:val="22"/>
          <w:szCs w:val="22"/>
        </w:rPr>
      </w:pPr>
      <w:r w:rsidRPr="00FB168D">
        <w:rPr>
          <w:rFonts w:asciiTheme="minorHAnsi" w:hAnsiTheme="minorHAnsi" w:cstheme="minorHAnsi"/>
          <w:sz w:val="22"/>
          <w:szCs w:val="22"/>
        </w:rPr>
        <w:t>Le prestataire est responsable de la sécurité de ses équipes et devra se conformer aux recommandations sécuritaires de SNV en fonction du contexte local. Toute situation à risque devra être communiquée à l’avance au point focal SNV.</w:t>
      </w:r>
    </w:p>
    <w:p w14:paraId="18B6094D" w14:textId="77777777" w:rsidR="007B23F1" w:rsidRPr="00FB168D" w:rsidRDefault="007B23F1" w:rsidP="001D7A9A">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Utilisation responsable des ressources du projet</w:t>
      </w:r>
    </w:p>
    <w:p w14:paraId="1A8F963B" w14:textId="77777777" w:rsidR="007B23F1" w:rsidRPr="00FB168D" w:rsidRDefault="007B23F1" w:rsidP="00D34D91">
      <w:pPr>
        <w:pStyle w:val="ListParagraph"/>
        <w:spacing w:before="120" w:line="276" w:lineRule="auto"/>
        <w:ind w:left="720"/>
        <w:jc w:val="both"/>
        <w:rPr>
          <w:rFonts w:asciiTheme="minorHAnsi" w:hAnsiTheme="minorHAnsi" w:cstheme="minorHAnsi"/>
          <w:sz w:val="22"/>
          <w:szCs w:val="22"/>
        </w:rPr>
      </w:pPr>
      <w:r w:rsidRPr="00FB168D">
        <w:rPr>
          <w:rFonts w:asciiTheme="minorHAnsi" w:hAnsiTheme="minorHAnsi" w:cstheme="minorHAnsi"/>
          <w:sz w:val="22"/>
          <w:szCs w:val="22"/>
        </w:rPr>
        <w:t>Le prestataire devra veiller à une utilisation efficiente, responsable et traçable des ressources (humaines, financières, matérielles) mises à disposition par le projet.</w:t>
      </w:r>
    </w:p>
    <w:p w14:paraId="0BFDCF25" w14:textId="7E6C666C" w:rsidR="002623EB" w:rsidRPr="00FB168D" w:rsidRDefault="007B23F1" w:rsidP="00B34E56">
      <w:pPr>
        <w:spacing w:before="120" w:line="276" w:lineRule="auto"/>
        <w:jc w:val="both"/>
        <w:rPr>
          <w:rFonts w:cstheme="minorHAnsi"/>
          <w:sz w:val="22"/>
          <w:szCs w:val="22"/>
        </w:rPr>
      </w:pPr>
      <w:r w:rsidRPr="00FB168D">
        <w:rPr>
          <w:rFonts w:cstheme="minorHAnsi"/>
          <w:sz w:val="22"/>
          <w:szCs w:val="22"/>
        </w:rPr>
        <w:t>Le non-respect de ces exigences pourra entraîner la suspension ou la résiliation du contrat, conformément aux dispositions contractuelles prévues.</w:t>
      </w:r>
    </w:p>
    <w:sectPr w:rsidR="002623EB" w:rsidRPr="00FB168D" w:rsidSect="006A36A1">
      <w:headerReference w:type="default" r:id="rId13"/>
      <w:footerReference w:type="default" r:id="rId14"/>
      <w:headerReference w:type="first" r:id="rId15"/>
      <w:footerReference w:type="first" r:id="rId16"/>
      <w:pgSz w:w="11906" w:h="16838" w:code="9"/>
      <w:pgMar w:top="3119" w:right="1469" w:bottom="170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51BF" w14:textId="77777777" w:rsidR="00831E40" w:rsidRPr="005F0AE7" w:rsidRDefault="00831E40" w:rsidP="002419DA">
      <w:pPr>
        <w:spacing w:line="240" w:lineRule="auto"/>
      </w:pPr>
      <w:r w:rsidRPr="005F0AE7">
        <w:separator/>
      </w:r>
    </w:p>
  </w:endnote>
  <w:endnote w:type="continuationSeparator" w:id="0">
    <w:p w14:paraId="1B05AA18" w14:textId="77777777" w:rsidR="00831E40" w:rsidRPr="005F0AE7" w:rsidRDefault="00831E40" w:rsidP="002419DA">
      <w:pPr>
        <w:spacing w:line="240" w:lineRule="auto"/>
      </w:pPr>
      <w:r w:rsidRPr="005F0A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E82C" w14:textId="77777777" w:rsidR="000327F0" w:rsidRPr="005F0AE7" w:rsidRDefault="000327F0" w:rsidP="000327F0">
    <w:pPr>
      <w:pStyle w:val="Footer"/>
      <w:jc w:val="right"/>
      <w:rPr>
        <w:noProof w:val="0"/>
      </w:rPr>
    </w:pPr>
    <w:r w:rsidRPr="005F0AE7">
      <w:rPr>
        <w:noProof w:val="0"/>
      </w:rPr>
      <w:fldChar w:fldCharType="begin"/>
    </w:r>
    <w:r w:rsidRPr="005F0AE7">
      <w:rPr>
        <w:noProof w:val="0"/>
      </w:rPr>
      <w:instrText xml:space="preserve"> PAGE  \* Arabic </w:instrText>
    </w:r>
    <w:r w:rsidRPr="005F0AE7">
      <w:rPr>
        <w:noProof w:val="0"/>
      </w:rPr>
      <w:fldChar w:fldCharType="separate"/>
    </w:r>
    <w:r w:rsidRPr="005F0AE7">
      <w:rPr>
        <w:noProof w:val="0"/>
      </w:rPr>
      <w:t>2</w:t>
    </w:r>
    <w:r w:rsidRPr="005F0AE7">
      <w:rPr>
        <w:noProof w:val="0"/>
      </w:rPr>
      <w:fldChar w:fldCharType="end"/>
    </w:r>
    <w:r w:rsidRPr="005F0AE7">
      <w:rPr>
        <w:noProof w:val="0"/>
      </w:rPr>
      <w:t xml:space="preserve"> / </w:t>
    </w:r>
    <w:r w:rsidRPr="005F0AE7">
      <w:rPr>
        <w:noProof w:val="0"/>
      </w:rPr>
      <w:fldChar w:fldCharType="begin"/>
    </w:r>
    <w:r w:rsidRPr="005F0AE7">
      <w:rPr>
        <w:noProof w:val="0"/>
      </w:rPr>
      <w:instrText xml:space="preserve"> NUMPAGES  \* Arabic </w:instrText>
    </w:r>
    <w:r w:rsidRPr="005F0AE7">
      <w:rPr>
        <w:noProof w:val="0"/>
      </w:rPr>
      <w:fldChar w:fldCharType="separate"/>
    </w:r>
    <w:r w:rsidRPr="005F0AE7">
      <w:rPr>
        <w:noProof w:val="0"/>
      </w:rPr>
      <w:t>3</w:t>
    </w:r>
    <w:r w:rsidRPr="005F0AE7">
      <w:rPr>
        <w:noProof w:val="0"/>
      </w:rPr>
      <w:fldChar w:fldCharType="end"/>
    </w:r>
  </w:p>
  <w:p w14:paraId="33B7A66B" w14:textId="77777777" w:rsidR="00975D3E" w:rsidRPr="005F0AE7" w:rsidRDefault="00975D3E" w:rsidP="00902DAF">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rsidRPr="005F0AE7" w14:paraId="0E017581" w14:textId="77777777" w:rsidTr="005B4F41">
      <w:tc>
        <w:tcPr>
          <w:tcW w:w="4536" w:type="dxa"/>
          <w:vAlign w:val="bottom"/>
        </w:tcPr>
        <w:p w14:paraId="7C3D0463" w14:textId="77777777" w:rsidR="000C1D84" w:rsidRPr="005F0AE7" w:rsidRDefault="000C1D84" w:rsidP="005B4F41">
          <w:pPr>
            <w:pStyle w:val="Footer"/>
            <w:rPr>
              <w:noProof w:val="0"/>
            </w:rPr>
          </w:pPr>
        </w:p>
      </w:tc>
      <w:tc>
        <w:tcPr>
          <w:tcW w:w="3515" w:type="dxa"/>
          <w:tcMar>
            <w:left w:w="992" w:type="dxa"/>
          </w:tcMar>
          <w:vAlign w:val="bottom"/>
        </w:tcPr>
        <w:p w14:paraId="4BDE4093" w14:textId="77777777" w:rsidR="000C1D84" w:rsidRPr="005F0AE7" w:rsidRDefault="000C1D84" w:rsidP="00233F7F">
          <w:pPr>
            <w:pStyle w:val="Footer"/>
            <w:rPr>
              <w:noProof w:val="0"/>
            </w:rPr>
          </w:pPr>
        </w:p>
      </w:tc>
      <w:tc>
        <w:tcPr>
          <w:tcW w:w="2494" w:type="dxa"/>
          <w:vAlign w:val="bottom"/>
        </w:tcPr>
        <w:p w14:paraId="286035EC" w14:textId="77777777" w:rsidR="000C1D84" w:rsidRPr="005F0AE7" w:rsidRDefault="000C1D84" w:rsidP="00233F7F">
          <w:pPr>
            <w:pStyle w:val="Footer"/>
            <w:rPr>
              <w:rFonts w:asciiTheme="majorHAnsi" w:hAnsiTheme="majorHAnsi"/>
              <w:b/>
              <w:bCs/>
              <w:noProof w:val="0"/>
            </w:rPr>
          </w:pPr>
        </w:p>
      </w:tc>
    </w:tr>
  </w:tbl>
  <w:p w14:paraId="69059660" w14:textId="77777777" w:rsidR="002419DA" w:rsidRPr="005F0AE7" w:rsidRDefault="00233F7F" w:rsidP="00233F7F">
    <w:pPr>
      <w:pStyle w:val="Footer"/>
      <w:tabs>
        <w:tab w:val="left" w:pos="4820"/>
      </w:tabs>
      <w:spacing w:line="14" w:lineRule="exact"/>
      <w:rPr>
        <w:noProof w:val="0"/>
      </w:rPr>
    </w:pPr>
    <w:r w:rsidRPr="005F0AE7">
      <mc:AlternateContent>
        <mc:Choice Requires="wps">
          <w:drawing>
            <wp:anchor distT="0" distB="0" distL="114300" distR="114300" simplePos="0" relativeHeight="251667456" behindDoc="1" locked="1" layoutInCell="1" allowOverlap="1" wp14:anchorId="564540DE" wp14:editId="39D671F8">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873FE" id="Graphic 7" o:spid="_x0000_s1026" alt="&quot;&quot;" style="position:absolute;margin-left:252.4pt;margin-top:0;width:303.6pt;height:178.6pt;z-index:-2516490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44E5" w14:textId="77777777" w:rsidR="00831E40" w:rsidRPr="005F0AE7" w:rsidRDefault="00831E40" w:rsidP="002419DA">
      <w:pPr>
        <w:spacing w:line="240" w:lineRule="auto"/>
      </w:pPr>
      <w:r w:rsidRPr="005F0AE7">
        <w:separator/>
      </w:r>
    </w:p>
  </w:footnote>
  <w:footnote w:type="continuationSeparator" w:id="0">
    <w:p w14:paraId="6D3A8A22" w14:textId="77777777" w:rsidR="00831E40" w:rsidRPr="005F0AE7" w:rsidRDefault="00831E40" w:rsidP="002419DA">
      <w:pPr>
        <w:spacing w:line="240" w:lineRule="auto"/>
      </w:pPr>
      <w:r w:rsidRPr="005F0A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BEE4" w14:textId="7A6C2F68" w:rsidR="002419DA" w:rsidRPr="005F0AE7" w:rsidRDefault="000F47E9">
    <w:pPr>
      <w:pStyle w:val="Header"/>
      <w:rPr>
        <w:noProof w:val="0"/>
      </w:rPr>
    </w:pPr>
    <w:r w:rsidRPr="005F0AE7">
      <mc:AlternateContent>
        <mc:Choice Requires="wps">
          <w:drawing>
            <wp:anchor distT="0" distB="0" distL="114300" distR="114300" simplePos="0" relativeHeight="251674624" behindDoc="0" locked="0" layoutInCell="1" allowOverlap="1" wp14:anchorId="4DFB86A7" wp14:editId="3C7ACCD1">
              <wp:simplePos x="0" y="0"/>
              <wp:positionH relativeFrom="column">
                <wp:posOffset>2474291</wp:posOffset>
              </wp:positionH>
              <wp:positionV relativeFrom="paragraph">
                <wp:posOffset>890546</wp:posOffset>
              </wp:positionV>
              <wp:extent cx="3186789" cy="795131"/>
              <wp:effectExtent l="0" t="0" r="0" b="5080"/>
              <wp:wrapNone/>
              <wp:docPr id="2107794691" name="Text Box 3"/>
              <wp:cNvGraphicFramePr/>
              <a:graphic xmlns:a="http://schemas.openxmlformats.org/drawingml/2006/main">
                <a:graphicData uri="http://schemas.microsoft.com/office/word/2010/wordprocessingShape">
                  <wps:wsp>
                    <wps:cNvSpPr txBox="1"/>
                    <wps:spPr>
                      <a:xfrm>
                        <a:off x="0" y="0"/>
                        <a:ext cx="3186789" cy="795131"/>
                      </a:xfrm>
                      <a:prstGeom prst="rect">
                        <a:avLst/>
                      </a:prstGeom>
                      <a:solidFill>
                        <a:schemeClr val="lt1"/>
                      </a:solidFill>
                      <a:ln w="6350">
                        <a:noFill/>
                      </a:ln>
                    </wps:spPr>
                    <wps:txbx>
                      <w:txbxContent>
                        <w:p w14:paraId="72DF1174" w14:textId="11894E81" w:rsidR="00D628DB" w:rsidRPr="005F0AE7" w:rsidRDefault="007B23F1" w:rsidP="00D628DB">
                          <w:pPr>
                            <w:jc w:val="right"/>
                            <w:rPr>
                              <w:rFonts w:asciiTheme="majorHAnsi" w:hAnsiTheme="majorHAnsi" w:cstheme="majorHAnsi"/>
                              <w:b/>
                              <w:bCs/>
                              <w:color w:val="375380" w:themeColor="text2"/>
                              <w:sz w:val="32"/>
                              <w:szCs w:val="32"/>
                            </w:rPr>
                          </w:pPr>
                          <w:r w:rsidRPr="005F0AE7">
                            <w:rPr>
                              <w:rFonts w:asciiTheme="majorHAnsi" w:hAnsiTheme="majorHAnsi" w:cstheme="majorHAnsi"/>
                              <w:b/>
                              <w:bCs/>
                              <w:color w:val="375380" w:themeColor="text2"/>
                              <w:sz w:val="32"/>
                              <w:szCs w:val="32"/>
                            </w:rPr>
                            <w:t>Termes de Référence (TdR)</w:t>
                          </w:r>
                        </w:p>
                        <w:p w14:paraId="1116AC70" w14:textId="77777777" w:rsidR="007A05B1" w:rsidRPr="005F0AE7" w:rsidRDefault="007A05B1" w:rsidP="00D628DB">
                          <w:pPr>
                            <w:jc w:val="right"/>
                            <w:rPr>
                              <w:rFonts w:asciiTheme="majorHAnsi" w:hAnsiTheme="majorHAnsi" w:cstheme="majorHAnsi"/>
                              <w:color w:val="375380" w:themeColor="text2"/>
                              <w:sz w:val="20"/>
                            </w:rPr>
                          </w:pPr>
                          <w:r w:rsidRPr="005F0AE7">
                            <w:rPr>
                              <w:rFonts w:asciiTheme="majorHAnsi" w:hAnsiTheme="majorHAnsi" w:cstheme="majorHAnsi"/>
                              <w:color w:val="375380" w:themeColor="text2"/>
                              <w:sz w:val="20"/>
                            </w:rPr>
                            <w:t>E</w:t>
                          </w:r>
                          <w:r w:rsidR="000F47E9" w:rsidRPr="005F0AE7">
                            <w:rPr>
                              <w:rFonts w:asciiTheme="majorHAnsi" w:hAnsiTheme="majorHAnsi" w:cstheme="majorHAnsi"/>
                              <w:color w:val="375380" w:themeColor="text2"/>
                              <w:sz w:val="20"/>
                            </w:rPr>
                            <w:t xml:space="preserve">tude de base du Projet Pilote </w:t>
                          </w:r>
                        </w:p>
                        <w:p w14:paraId="5A1E11FF" w14:textId="4F635018" w:rsidR="000F47E9" w:rsidRPr="005F0AE7" w:rsidRDefault="00B53BBD" w:rsidP="00D628DB">
                          <w:pPr>
                            <w:jc w:val="right"/>
                            <w:rPr>
                              <w:rFonts w:asciiTheme="majorHAnsi" w:hAnsiTheme="majorHAnsi" w:cstheme="majorHAnsi"/>
                              <w:color w:val="375380" w:themeColor="text2"/>
                              <w:sz w:val="20"/>
                            </w:rPr>
                          </w:pPr>
                          <w:r w:rsidRPr="005F0AE7">
                            <w:rPr>
                              <w:rFonts w:asciiTheme="majorHAnsi" w:hAnsiTheme="majorHAnsi" w:cstheme="majorHAnsi"/>
                              <w:color w:val="375380" w:themeColor="text2"/>
                              <w:sz w:val="20"/>
                            </w:rPr>
                            <w:t>"</w:t>
                          </w:r>
                          <w:r w:rsidR="000F47E9" w:rsidRPr="005F0AE7">
                            <w:rPr>
                              <w:rFonts w:asciiTheme="majorHAnsi" w:hAnsiTheme="majorHAnsi" w:cstheme="majorHAnsi"/>
                              <w:color w:val="375380" w:themeColor="text2"/>
                              <w:sz w:val="20"/>
                            </w:rPr>
                            <w:t>Smoke Free Zone</w:t>
                          </w:r>
                          <w:r w:rsidR="00C5584C">
                            <w:rPr>
                              <w:rFonts w:asciiTheme="majorHAnsi" w:hAnsiTheme="majorHAnsi" w:cstheme="majorHAnsi"/>
                              <w:color w:val="375380" w:themeColor="text2"/>
                              <w:sz w:val="20"/>
                            </w:rPr>
                            <w:t>s</w:t>
                          </w:r>
                          <w:r w:rsidR="000F47E9" w:rsidRPr="005F0AE7">
                            <w:rPr>
                              <w:rFonts w:asciiTheme="majorHAnsi" w:hAnsiTheme="majorHAnsi" w:cstheme="majorHAnsi"/>
                              <w:color w:val="375380" w:themeColor="text2"/>
                              <w:sz w:val="20"/>
                            </w:rPr>
                            <w:t xml:space="preserve"> à Bamako</w:t>
                          </w:r>
                          <w:r w:rsidRPr="005F0AE7">
                            <w:rPr>
                              <w:rFonts w:asciiTheme="majorHAnsi" w:hAnsiTheme="majorHAnsi" w:cstheme="majorHAnsi"/>
                              <w:color w:val="375380" w:themeColor="text2"/>
                              <w:sz w:val="20"/>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86A7" id="_x0000_t202" coordsize="21600,21600" o:spt="202" path="m,l,21600r21600,l21600,xe">
              <v:stroke joinstyle="miter"/>
              <v:path gradientshapeok="t" o:connecttype="rect"/>
            </v:shapetype>
            <v:shape id="Text Box 3" o:spid="_x0000_s1026" type="#_x0000_t202" style="position:absolute;margin-left:194.85pt;margin-top:70.1pt;width:250.95pt;height:6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qTJwIAAFQEAAAOAAAAZHJzL2Uyb0RvYy54bWysVEtv2zAMvg/YfxB0X+w0aJoGcYosRYYB&#10;QVsgHXpWZDk2IIsapcTOfv0o2Xm022nYRSZF6uPjIz17aGvNDgpdBSbjw0HKmTIS8srsMv7jdfVl&#10;wpnzwuRCg1EZPyrHH+afP80aO1U3UILOFTICMW7a2IyX3ttpkjhZqlq4AVhlyFgA1sKTirskR9EQ&#10;eq2TmzQdJw1gbhGkco5uHzsjn0f8olDSPxeFU57pjFNuPp4Yz204k/lMTHcobFnJPg3xD1nUojIU&#10;9Az1KLxge6z+gKorieCg8AMJdQJFUUkVa6BqhumHajalsCrWQs1x9twm9/9g5dNhY1+Q+fYrtERg&#10;aEhj3dTRZainLbAOX8qUkZ1aeDy3TbWeSbocDSfju8k9Z5Jsd/e3w1GESS6vLTr/TUHNgpBxJFpi&#10;t8Rh7TxFJNeTSwjmQFf5qtI6KmEU1FIjOwgiUfsT+DsvbViT8fHoNo3ABsLzDlkbCnCpKUi+3bZ9&#10;oVvIj1Q/QjcazspVRUmuhfMvAmkWqGSab/9MR6GBgkAvcVYC/vrbffAnisjKWUOzlXH3cy9Qcaa/&#10;GyJvNE7TMIzXCl4r22vF7OslUOVD2iQro0iP0euTWCDUb7QGixCVTMJIip1xfxKXvpt4WiOpFovo&#10;RONnhV+bjZUBOnQ6UPDavgm0PU+eGH6C0xSK6Qe6Ot/w0sBi76GoIpehwV1X+77T6EaK+zULu3Gt&#10;R6/Lz2D+GwAA//8DAFBLAwQUAAYACAAAACEALtxPyeIAAAALAQAADwAAAGRycy9kb3ducmV2Lnht&#10;bEyPy07DMBBF90j8gzWV2FGnIc2LOBVCYsEKkcCiOzd2k6jxOMRuE/h6hlVZju7RvWeK3WIGdtGT&#10;6y0K2KwDYBobq3psBXzUL/cpMOclKjlY1AK+tYNdeXtTyFzZGd/1pfItoxJ0uRTQeT/mnLum00a6&#10;tR01Una0k5GezqnlapIzlZuBh0EQcyN7pIVOjvq5082pOhsBaTJ/fu2zaP9mqqT9OY6vQV1vhbhb&#10;LU+PwLxe/BWGP31Sh5KcDvaMyrFBwEOaJYRSEAUhMCLSbBMDOwgI420EvCz4/x/KXwAAAP//AwBQ&#10;SwECLQAUAAYACAAAACEAtoM4kv4AAADhAQAAEwAAAAAAAAAAAAAAAAAAAAAAW0NvbnRlbnRfVHlw&#10;ZXNdLnhtbFBLAQItABQABgAIAAAAIQA4/SH/1gAAAJQBAAALAAAAAAAAAAAAAAAAAC8BAABfcmVs&#10;cy8ucmVsc1BLAQItABQABgAIAAAAIQA5LgqTJwIAAFQEAAAOAAAAAAAAAAAAAAAAAC4CAABkcnMv&#10;ZTJvRG9jLnhtbFBLAQItABQABgAIAAAAIQAu3E/J4gAAAAsBAAAPAAAAAAAAAAAAAAAAAIEEAABk&#10;cnMvZG93bnJldi54bWxQSwUGAAAAAAQABADzAAAAkAUAAAAA&#10;" fillcolor="white [3201]" stroked="f" strokeweight=".5pt">
              <v:textbox inset="1mm,1mm,1mm,1mm">
                <w:txbxContent>
                  <w:p w14:paraId="72DF1174" w14:textId="11894E81" w:rsidR="00D628DB" w:rsidRPr="005F0AE7" w:rsidRDefault="007B23F1" w:rsidP="00D628DB">
                    <w:pPr>
                      <w:jc w:val="right"/>
                      <w:rPr>
                        <w:rFonts w:asciiTheme="majorHAnsi" w:hAnsiTheme="majorHAnsi" w:cstheme="majorHAnsi"/>
                        <w:b/>
                        <w:bCs/>
                        <w:color w:val="375380" w:themeColor="text2"/>
                        <w:sz w:val="32"/>
                        <w:szCs w:val="32"/>
                      </w:rPr>
                    </w:pPr>
                    <w:r w:rsidRPr="005F0AE7">
                      <w:rPr>
                        <w:rFonts w:asciiTheme="majorHAnsi" w:hAnsiTheme="majorHAnsi" w:cstheme="majorHAnsi"/>
                        <w:b/>
                        <w:bCs/>
                        <w:color w:val="375380" w:themeColor="text2"/>
                        <w:sz w:val="32"/>
                        <w:szCs w:val="32"/>
                      </w:rPr>
                      <w:t>Termes de Référence (TdR)</w:t>
                    </w:r>
                  </w:p>
                  <w:p w14:paraId="1116AC70" w14:textId="77777777" w:rsidR="007A05B1" w:rsidRPr="005F0AE7" w:rsidRDefault="007A05B1" w:rsidP="00D628DB">
                    <w:pPr>
                      <w:jc w:val="right"/>
                      <w:rPr>
                        <w:rFonts w:asciiTheme="majorHAnsi" w:hAnsiTheme="majorHAnsi" w:cstheme="majorHAnsi"/>
                        <w:color w:val="375380" w:themeColor="text2"/>
                        <w:sz w:val="20"/>
                      </w:rPr>
                    </w:pPr>
                    <w:r w:rsidRPr="005F0AE7">
                      <w:rPr>
                        <w:rFonts w:asciiTheme="majorHAnsi" w:hAnsiTheme="majorHAnsi" w:cstheme="majorHAnsi"/>
                        <w:color w:val="375380" w:themeColor="text2"/>
                        <w:sz w:val="20"/>
                      </w:rPr>
                      <w:t>E</w:t>
                    </w:r>
                    <w:r w:rsidR="000F47E9" w:rsidRPr="005F0AE7">
                      <w:rPr>
                        <w:rFonts w:asciiTheme="majorHAnsi" w:hAnsiTheme="majorHAnsi" w:cstheme="majorHAnsi"/>
                        <w:color w:val="375380" w:themeColor="text2"/>
                        <w:sz w:val="20"/>
                      </w:rPr>
                      <w:t xml:space="preserve">tude de base du Projet Pilote </w:t>
                    </w:r>
                  </w:p>
                  <w:p w14:paraId="5A1E11FF" w14:textId="4F635018" w:rsidR="000F47E9" w:rsidRPr="005F0AE7" w:rsidRDefault="00B53BBD" w:rsidP="00D628DB">
                    <w:pPr>
                      <w:jc w:val="right"/>
                      <w:rPr>
                        <w:rFonts w:asciiTheme="majorHAnsi" w:hAnsiTheme="majorHAnsi" w:cstheme="majorHAnsi"/>
                        <w:color w:val="375380" w:themeColor="text2"/>
                        <w:sz w:val="20"/>
                      </w:rPr>
                    </w:pPr>
                    <w:r w:rsidRPr="005F0AE7">
                      <w:rPr>
                        <w:rFonts w:asciiTheme="majorHAnsi" w:hAnsiTheme="majorHAnsi" w:cstheme="majorHAnsi"/>
                        <w:color w:val="375380" w:themeColor="text2"/>
                        <w:sz w:val="20"/>
                      </w:rPr>
                      <w:t>"</w:t>
                    </w:r>
                    <w:r w:rsidR="000F47E9" w:rsidRPr="005F0AE7">
                      <w:rPr>
                        <w:rFonts w:asciiTheme="majorHAnsi" w:hAnsiTheme="majorHAnsi" w:cstheme="majorHAnsi"/>
                        <w:color w:val="375380" w:themeColor="text2"/>
                        <w:sz w:val="20"/>
                      </w:rPr>
                      <w:t>Smoke Free Zone</w:t>
                    </w:r>
                    <w:r w:rsidR="00C5584C">
                      <w:rPr>
                        <w:rFonts w:asciiTheme="majorHAnsi" w:hAnsiTheme="majorHAnsi" w:cstheme="majorHAnsi"/>
                        <w:color w:val="375380" w:themeColor="text2"/>
                        <w:sz w:val="20"/>
                      </w:rPr>
                      <w:t>s</w:t>
                    </w:r>
                    <w:r w:rsidR="000F47E9" w:rsidRPr="005F0AE7">
                      <w:rPr>
                        <w:rFonts w:asciiTheme="majorHAnsi" w:hAnsiTheme="majorHAnsi" w:cstheme="majorHAnsi"/>
                        <w:color w:val="375380" w:themeColor="text2"/>
                        <w:sz w:val="20"/>
                      </w:rPr>
                      <w:t xml:space="preserve"> à Bamako</w:t>
                    </w:r>
                    <w:r w:rsidRPr="005F0AE7">
                      <w:rPr>
                        <w:rFonts w:asciiTheme="majorHAnsi" w:hAnsiTheme="majorHAnsi" w:cstheme="majorHAnsi"/>
                        <w:color w:val="375380" w:themeColor="text2"/>
                        <w:sz w:val="20"/>
                      </w:rPr>
                      <w:t>"</w:t>
                    </w:r>
                  </w:p>
                </w:txbxContent>
              </v:textbox>
            </v:shape>
          </w:pict>
        </mc:Fallback>
      </mc:AlternateContent>
    </w:r>
    <w:r w:rsidR="009128CE" w:rsidRPr="005F0AE7">
      <w:drawing>
        <wp:anchor distT="0" distB="0" distL="114300" distR="114300" simplePos="0" relativeHeight="251670528" behindDoc="0" locked="0" layoutInCell="1" allowOverlap="1" wp14:anchorId="3B286595" wp14:editId="0739CC7B">
          <wp:simplePos x="0" y="0"/>
          <wp:positionH relativeFrom="page">
            <wp:posOffset>488950</wp:posOffset>
          </wp:positionH>
          <wp:positionV relativeFrom="page">
            <wp:posOffset>489743</wp:posOffset>
          </wp:positionV>
          <wp:extent cx="2231390" cy="1114109"/>
          <wp:effectExtent l="0" t="0" r="0" b="0"/>
          <wp:wrapNone/>
          <wp:docPr id="82947505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75059" name="Afbeelding 8"/>
                  <pic:cNvPicPr/>
                </pic:nvPicPr>
                <pic:blipFill>
                  <a:blip r:embed="rId1">
                    <a:extLst>
                      <a:ext uri="{28A0092B-C50C-407E-A947-70E740481C1C}">
                        <a14:useLocalDpi xmlns:a14="http://schemas.microsoft.com/office/drawing/2010/main" val="0"/>
                      </a:ext>
                    </a:extLst>
                  </a:blip>
                  <a:stretch>
                    <a:fillRect/>
                  </a:stretch>
                </pic:blipFill>
                <pic:spPr>
                  <a:xfrm>
                    <a:off x="0" y="0"/>
                    <a:ext cx="2231390" cy="1114109"/>
                  </a:xfrm>
                  <a:prstGeom prst="rect">
                    <a:avLst/>
                  </a:prstGeom>
                </pic:spPr>
              </pic:pic>
            </a:graphicData>
          </a:graphic>
          <wp14:sizeRelH relativeFrom="margin">
            <wp14:pctWidth>0</wp14:pctWidth>
          </wp14:sizeRelH>
          <wp14:sizeRelV relativeFrom="margin">
            <wp14:pctHeight>0</wp14:pctHeight>
          </wp14:sizeRelV>
        </wp:anchor>
      </w:drawing>
    </w:r>
    <w:r w:rsidR="000D0B3D" w:rsidRPr="005F0AE7">
      <mc:AlternateContent>
        <mc:Choice Requires="wps">
          <w:drawing>
            <wp:anchor distT="0" distB="0" distL="114300" distR="114300" simplePos="0" relativeHeight="251672576" behindDoc="1" locked="1" layoutInCell="1" allowOverlap="1" wp14:anchorId="00BD3E2D" wp14:editId="7706E3E4">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63AE8" id="Graphic 7" o:spid="_x0000_s1026" alt="&quot;&quot;" style="position:absolute;margin-left:329.25pt;margin-top:700.1pt;width:303.55pt;height:178.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18DC" w14:textId="77777777" w:rsidR="002419DA" w:rsidRPr="005F0AE7" w:rsidRDefault="00233F7F" w:rsidP="005F1140">
    <w:pPr>
      <w:pStyle w:val="Header"/>
      <w:spacing w:line="2960" w:lineRule="exact"/>
      <w:rPr>
        <w:noProof w:val="0"/>
      </w:rPr>
    </w:pPr>
    <w:r w:rsidRPr="005F0AE7">
      <w:drawing>
        <wp:anchor distT="0" distB="0" distL="114300" distR="114300" simplePos="0" relativeHeight="251668480" behindDoc="0" locked="0" layoutInCell="1" allowOverlap="1" wp14:anchorId="5E618DB9" wp14:editId="5F86ED2A">
          <wp:simplePos x="0" y="0"/>
          <wp:positionH relativeFrom="page">
            <wp:posOffset>483235</wp:posOffset>
          </wp:positionH>
          <wp:positionV relativeFrom="page">
            <wp:posOffset>490220</wp:posOffset>
          </wp:positionV>
          <wp:extent cx="2232000" cy="1114544"/>
          <wp:effectExtent l="0" t="0" r="0" b="0"/>
          <wp:wrapNone/>
          <wp:docPr id="2072495596"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63"/>
    <w:multiLevelType w:val="hybridMultilevel"/>
    <w:tmpl w:val="8A821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 w15:restartNumberingAfterBreak="0">
    <w:nsid w:val="0B3F1347"/>
    <w:multiLevelType w:val="hybridMultilevel"/>
    <w:tmpl w:val="6BCAB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347479"/>
    <w:multiLevelType w:val="hybridMultilevel"/>
    <w:tmpl w:val="12324768"/>
    <w:lvl w:ilvl="0" w:tplc="040C0001">
      <w:start w:val="1"/>
      <w:numFmt w:val="bullet"/>
      <w:lvlText w:val=""/>
      <w:lvlJc w:val="left"/>
      <w:pPr>
        <w:ind w:left="764" w:hanging="360"/>
      </w:pPr>
      <w:rPr>
        <w:rFonts w:ascii="Symbol" w:hAnsi="Symbol"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4" w15:restartNumberingAfterBreak="0">
    <w:nsid w:val="11A17988"/>
    <w:multiLevelType w:val="multilevel"/>
    <w:tmpl w:val="68121924"/>
    <w:numStyleLink w:val="Koppenlijst"/>
  </w:abstractNum>
  <w:abstractNum w:abstractNumId="5" w15:restartNumberingAfterBreak="0">
    <w:nsid w:val="15050BD4"/>
    <w:multiLevelType w:val="hybridMultilevel"/>
    <w:tmpl w:val="DE248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8F195B"/>
    <w:multiLevelType w:val="hybridMultilevel"/>
    <w:tmpl w:val="CA4EA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8" w15:restartNumberingAfterBreak="0">
    <w:nsid w:val="1CBE4C51"/>
    <w:multiLevelType w:val="hybridMultilevel"/>
    <w:tmpl w:val="EBCA2C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ED22544"/>
    <w:multiLevelType w:val="multilevel"/>
    <w:tmpl w:val="CEB2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AA759F"/>
    <w:multiLevelType w:val="multilevel"/>
    <w:tmpl w:val="59D4A8E2"/>
    <w:numStyleLink w:val="Cijfers"/>
  </w:abstractNum>
  <w:abstractNum w:abstractNumId="11" w15:restartNumberingAfterBreak="0">
    <w:nsid w:val="6FB000FC"/>
    <w:multiLevelType w:val="hybridMultilevel"/>
    <w:tmpl w:val="D684462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3" w15:restartNumberingAfterBreak="0">
    <w:nsid w:val="77000C99"/>
    <w:multiLevelType w:val="hybridMultilevel"/>
    <w:tmpl w:val="1F96FF9A"/>
    <w:lvl w:ilvl="0" w:tplc="97CE3C1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ED0F2B"/>
    <w:multiLevelType w:val="hybridMultilevel"/>
    <w:tmpl w:val="0EB472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A920D8F"/>
    <w:multiLevelType w:val="hybridMultilevel"/>
    <w:tmpl w:val="99B096B0"/>
    <w:lvl w:ilvl="0" w:tplc="97CE3C1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4227514">
    <w:abstractNumId w:val="7"/>
  </w:num>
  <w:num w:numId="2" w16cid:durableId="616104099">
    <w:abstractNumId w:val="1"/>
  </w:num>
  <w:num w:numId="3" w16cid:durableId="1096902998">
    <w:abstractNumId w:val="12"/>
  </w:num>
  <w:num w:numId="4" w16cid:durableId="610670841">
    <w:abstractNumId w:val="7"/>
  </w:num>
  <w:num w:numId="5" w16cid:durableId="49766568">
    <w:abstractNumId w:val="10"/>
  </w:num>
  <w:num w:numId="6" w16cid:durableId="36973620">
    <w:abstractNumId w:val="4"/>
    <w:lvlOverride w:ilvl="0">
      <w:lvl w:ilvl="0">
        <w:start w:val="1"/>
        <w:numFmt w:val="decimal"/>
        <w:pStyle w:val="Heading1"/>
        <w:lvlText w:val="%1."/>
        <w:lvlJc w:val="left"/>
        <w:pPr>
          <w:ind w:left="794" w:hanging="794"/>
        </w:pPr>
        <w:rPr>
          <w:rFonts w:asciiTheme="minorHAnsi" w:hAnsiTheme="minorHAnsi" w:cstheme="minorHAnsi" w:hint="default"/>
        </w:rPr>
      </w:lvl>
    </w:lvlOverride>
  </w:num>
  <w:num w:numId="7" w16cid:durableId="64030957">
    <w:abstractNumId w:val="2"/>
  </w:num>
  <w:num w:numId="8" w16cid:durableId="614141141">
    <w:abstractNumId w:val="14"/>
  </w:num>
  <w:num w:numId="9" w16cid:durableId="1295677611">
    <w:abstractNumId w:val="5"/>
  </w:num>
  <w:num w:numId="10" w16cid:durableId="1654411392">
    <w:abstractNumId w:val="0"/>
  </w:num>
  <w:num w:numId="11" w16cid:durableId="1591084655">
    <w:abstractNumId w:val="3"/>
  </w:num>
  <w:num w:numId="12" w16cid:durableId="1384871777">
    <w:abstractNumId w:val="6"/>
  </w:num>
  <w:num w:numId="13" w16cid:durableId="1571888015">
    <w:abstractNumId w:val="9"/>
  </w:num>
  <w:num w:numId="14" w16cid:durableId="1533835882">
    <w:abstractNumId w:val="13"/>
  </w:num>
  <w:num w:numId="15" w16cid:durableId="1772773535">
    <w:abstractNumId w:val="15"/>
  </w:num>
  <w:num w:numId="16" w16cid:durableId="668020318">
    <w:abstractNumId w:val="11"/>
  </w:num>
  <w:num w:numId="17" w16cid:durableId="206453576">
    <w:abstractNumId w:val="8"/>
  </w:num>
  <w:num w:numId="18" w16cid:durableId="12160426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FA"/>
    <w:rsid w:val="00013990"/>
    <w:rsid w:val="0002098E"/>
    <w:rsid w:val="0002495F"/>
    <w:rsid w:val="00026820"/>
    <w:rsid w:val="00027F66"/>
    <w:rsid w:val="000327F0"/>
    <w:rsid w:val="00033DB3"/>
    <w:rsid w:val="000406E7"/>
    <w:rsid w:val="0004480A"/>
    <w:rsid w:val="00047BCE"/>
    <w:rsid w:val="00051398"/>
    <w:rsid w:val="00052AEB"/>
    <w:rsid w:val="0005570D"/>
    <w:rsid w:val="000601D2"/>
    <w:rsid w:val="00063D96"/>
    <w:rsid w:val="00073F88"/>
    <w:rsid w:val="00075630"/>
    <w:rsid w:val="000778F1"/>
    <w:rsid w:val="00082A8D"/>
    <w:rsid w:val="000831FE"/>
    <w:rsid w:val="00083426"/>
    <w:rsid w:val="000900D4"/>
    <w:rsid w:val="00094628"/>
    <w:rsid w:val="000954C6"/>
    <w:rsid w:val="0009686E"/>
    <w:rsid w:val="000B0103"/>
    <w:rsid w:val="000B0A10"/>
    <w:rsid w:val="000C1D84"/>
    <w:rsid w:val="000C5547"/>
    <w:rsid w:val="000D0B3D"/>
    <w:rsid w:val="000F28E6"/>
    <w:rsid w:val="000F47E9"/>
    <w:rsid w:val="000F4C08"/>
    <w:rsid w:val="00105770"/>
    <w:rsid w:val="00110854"/>
    <w:rsid w:val="00116778"/>
    <w:rsid w:val="00130BA3"/>
    <w:rsid w:val="001341F4"/>
    <w:rsid w:val="00137E4F"/>
    <w:rsid w:val="001457B5"/>
    <w:rsid w:val="00146290"/>
    <w:rsid w:val="0015350C"/>
    <w:rsid w:val="00153FAF"/>
    <w:rsid w:val="001725D4"/>
    <w:rsid w:val="00173F7E"/>
    <w:rsid w:val="00177C12"/>
    <w:rsid w:val="00183D90"/>
    <w:rsid w:val="00184FCB"/>
    <w:rsid w:val="0019678B"/>
    <w:rsid w:val="001B2811"/>
    <w:rsid w:val="001B7FC2"/>
    <w:rsid w:val="001D7A9A"/>
    <w:rsid w:val="001E6468"/>
    <w:rsid w:val="002076B6"/>
    <w:rsid w:val="00215489"/>
    <w:rsid w:val="0023387B"/>
    <w:rsid w:val="00233F7F"/>
    <w:rsid w:val="00241370"/>
    <w:rsid w:val="002419DA"/>
    <w:rsid w:val="00244164"/>
    <w:rsid w:val="00245C6F"/>
    <w:rsid w:val="002470C8"/>
    <w:rsid w:val="002503B1"/>
    <w:rsid w:val="00250E82"/>
    <w:rsid w:val="00261FF8"/>
    <w:rsid w:val="002623EB"/>
    <w:rsid w:val="0027006B"/>
    <w:rsid w:val="00277DE9"/>
    <w:rsid w:val="002831B3"/>
    <w:rsid w:val="00283F99"/>
    <w:rsid w:val="0029270D"/>
    <w:rsid w:val="002A4AEB"/>
    <w:rsid w:val="002B7EEE"/>
    <w:rsid w:val="002C2512"/>
    <w:rsid w:val="002C26C1"/>
    <w:rsid w:val="002E05DB"/>
    <w:rsid w:val="002E6586"/>
    <w:rsid w:val="002F028C"/>
    <w:rsid w:val="002F4714"/>
    <w:rsid w:val="00305F9B"/>
    <w:rsid w:val="00307F5A"/>
    <w:rsid w:val="00312D50"/>
    <w:rsid w:val="00315481"/>
    <w:rsid w:val="00325BA9"/>
    <w:rsid w:val="003313E6"/>
    <w:rsid w:val="00332B5E"/>
    <w:rsid w:val="003426E0"/>
    <w:rsid w:val="0034751B"/>
    <w:rsid w:val="00353947"/>
    <w:rsid w:val="00354A63"/>
    <w:rsid w:val="003628BB"/>
    <w:rsid w:val="00367EFD"/>
    <w:rsid w:val="00372820"/>
    <w:rsid w:val="0037632F"/>
    <w:rsid w:val="00383CCC"/>
    <w:rsid w:val="00390D0C"/>
    <w:rsid w:val="003A1E28"/>
    <w:rsid w:val="003A406C"/>
    <w:rsid w:val="003A742E"/>
    <w:rsid w:val="003B074D"/>
    <w:rsid w:val="003B1310"/>
    <w:rsid w:val="003B3233"/>
    <w:rsid w:val="003B5E0B"/>
    <w:rsid w:val="003C4C8A"/>
    <w:rsid w:val="003D6A90"/>
    <w:rsid w:val="003E4261"/>
    <w:rsid w:val="003E7D58"/>
    <w:rsid w:val="003F3C09"/>
    <w:rsid w:val="00427B77"/>
    <w:rsid w:val="0043068D"/>
    <w:rsid w:val="00430E6A"/>
    <w:rsid w:val="00435776"/>
    <w:rsid w:val="0044189E"/>
    <w:rsid w:val="00442AA8"/>
    <w:rsid w:val="00445432"/>
    <w:rsid w:val="00450B24"/>
    <w:rsid w:val="00461659"/>
    <w:rsid w:val="00462E14"/>
    <w:rsid w:val="0046521B"/>
    <w:rsid w:val="00471148"/>
    <w:rsid w:val="00471CB5"/>
    <w:rsid w:val="0047647A"/>
    <w:rsid w:val="00480A6C"/>
    <w:rsid w:val="00483144"/>
    <w:rsid w:val="00487839"/>
    <w:rsid w:val="00492641"/>
    <w:rsid w:val="00494647"/>
    <w:rsid w:val="00496811"/>
    <w:rsid w:val="004A093A"/>
    <w:rsid w:val="004A5B71"/>
    <w:rsid w:val="004D27BF"/>
    <w:rsid w:val="004D47FD"/>
    <w:rsid w:val="004E05B7"/>
    <w:rsid w:val="004F4F38"/>
    <w:rsid w:val="004F6807"/>
    <w:rsid w:val="00504F48"/>
    <w:rsid w:val="00505A92"/>
    <w:rsid w:val="0050676F"/>
    <w:rsid w:val="00514A44"/>
    <w:rsid w:val="00516DFE"/>
    <w:rsid w:val="00516FBD"/>
    <w:rsid w:val="00523EBD"/>
    <w:rsid w:val="005265DE"/>
    <w:rsid w:val="005334BE"/>
    <w:rsid w:val="00535B10"/>
    <w:rsid w:val="00537712"/>
    <w:rsid w:val="00537E34"/>
    <w:rsid w:val="005429B5"/>
    <w:rsid w:val="00543A1D"/>
    <w:rsid w:val="00544A1E"/>
    <w:rsid w:val="00550FF9"/>
    <w:rsid w:val="005634AD"/>
    <w:rsid w:val="005664FD"/>
    <w:rsid w:val="00571BCA"/>
    <w:rsid w:val="00572D6A"/>
    <w:rsid w:val="00585E98"/>
    <w:rsid w:val="00586DDF"/>
    <w:rsid w:val="00591482"/>
    <w:rsid w:val="005A50EA"/>
    <w:rsid w:val="005B46FB"/>
    <w:rsid w:val="005B4F41"/>
    <w:rsid w:val="005D5AAC"/>
    <w:rsid w:val="005D5D88"/>
    <w:rsid w:val="005E54F0"/>
    <w:rsid w:val="005F0AE7"/>
    <w:rsid w:val="005F1140"/>
    <w:rsid w:val="005F3724"/>
    <w:rsid w:val="005F5168"/>
    <w:rsid w:val="005F5F68"/>
    <w:rsid w:val="00613F09"/>
    <w:rsid w:val="00615A14"/>
    <w:rsid w:val="006201D3"/>
    <w:rsid w:val="00625AA1"/>
    <w:rsid w:val="006342F8"/>
    <w:rsid w:val="00634B22"/>
    <w:rsid w:val="00636967"/>
    <w:rsid w:val="00640DD1"/>
    <w:rsid w:val="00641526"/>
    <w:rsid w:val="00651608"/>
    <w:rsid w:val="006518A0"/>
    <w:rsid w:val="00673392"/>
    <w:rsid w:val="006768D8"/>
    <w:rsid w:val="006907E0"/>
    <w:rsid w:val="00690960"/>
    <w:rsid w:val="006925BB"/>
    <w:rsid w:val="006A159E"/>
    <w:rsid w:val="006A36A1"/>
    <w:rsid w:val="006A4CE6"/>
    <w:rsid w:val="006A7525"/>
    <w:rsid w:val="006B2CDC"/>
    <w:rsid w:val="006B375F"/>
    <w:rsid w:val="006B682F"/>
    <w:rsid w:val="006C37D9"/>
    <w:rsid w:val="006C3EA8"/>
    <w:rsid w:val="006C4C9E"/>
    <w:rsid w:val="006C572A"/>
    <w:rsid w:val="006D204A"/>
    <w:rsid w:val="006D5F69"/>
    <w:rsid w:val="006D76C2"/>
    <w:rsid w:val="006E49A9"/>
    <w:rsid w:val="006E4CA6"/>
    <w:rsid w:val="006E775A"/>
    <w:rsid w:val="006F1C31"/>
    <w:rsid w:val="006F640F"/>
    <w:rsid w:val="007014DD"/>
    <w:rsid w:val="00701A94"/>
    <w:rsid w:val="00702418"/>
    <w:rsid w:val="007131D9"/>
    <w:rsid w:val="00722AAC"/>
    <w:rsid w:val="00725A5C"/>
    <w:rsid w:val="0073304E"/>
    <w:rsid w:val="007434A0"/>
    <w:rsid w:val="00743FE0"/>
    <w:rsid w:val="007667B8"/>
    <w:rsid w:val="00767F41"/>
    <w:rsid w:val="0077473D"/>
    <w:rsid w:val="007760CB"/>
    <w:rsid w:val="00776F0F"/>
    <w:rsid w:val="00781AE2"/>
    <w:rsid w:val="00786100"/>
    <w:rsid w:val="007A05B1"/>
    <w:rsid w:val="007A4581"/>
    <w:rsid w:val="007B00C3"/>
    <w:rsid w:val="007B1205"/>
    <w:rsid w:val="007B188A"/>
    <w:rsid w:val="007B23F1"/>
    <w:rsid w:val="007C0372"/>
    <w:rsid w:val="007E4C3C"/>
    <w:rsid w:val="0080246D"/>
    <w:rsid w:val="0080370F"/>
    <w:rsid w:val="00805414"/>
    <w:rsid w:val="00810CA0"/>
    <w:rsid w:val="00813253"/>
    <w:rsid w:val="008258FA"/>
    <w:rsid w:val="00831E40"/>
    <w:rsid w:val="00834646"/>
    <w:rsid w:val="00847970"/>
    <w:rsid w:val="00856081"/>
    <w:rsid w:val="00880038"/>
    <w:rsid w:val="0088083A"/>
    <w:rsid w:val="008841E7"/>
    <w:rsid w:val="00887A8C"/>
    <w:rsid w:val="00894F64"/>
    <w:rsid w:val="008C4E6C"/>
    <w:rsid w:val="008C51AE"/>
    <w:rsid w:val="008E06D4"/>
    <w:rsid w:val="008E49A5"/>
    <w:rsid w:val="008F2CE8"/>
    <w:rsid w:val="008F463B"/>
    <w:rsid w:val="00901192"/>
    <w:rsid w:val="00902DAF"/>
    <w:rsid w:val="009128CE"/>
    <w:rsid w:val="009166D1"/>
    <w:rsid w:val="00920F6F"/>
    <w:rsid w:val="009226E8"/>
    <w:rsid w:val="00924DF8"/>
    <w:rsid w:val="0092732A"/>
    <w:rsid w:val="00931A03"/>
    <w:rsid w:val="00943BDF"/>
    <w:rsid w:val="00946164"/>
    <w:rsid w:val="00961627"/>
    <w:rsid w:val="00961C13"/>
    <w:rsid w:val="00964620"/>
    <w:rsid w:val="00966F9C"/>
    <w:rsid w:val="0096773A"/>
    <w:rsid w:val="00972933"/>
    <w:rsid w:val="00975D3E"/>
    <w:rsid w:val="009763B9"/>
    <w:rsid w:val="00976BA3"/>
    <w:rsid w:val="009805DD"/>
    <w:rsid w:val="00984BB1"/>
    <w:rsid w:val="00990517"/>
    <w:rsid w:val="00990548"/>
    <w:rsid w:val="00994869"/>
    <w:rsid w:val="009A091D"/>
    <w:rsid w:val="009A1CA2"/>
    <w:rsid w:val="009A6D30"/>
    <w:rsid w:val="009A7FE6"/>
    <w:rsid w:val="009B70EC"/>
    <w:rsid w:val="009C088A"/>
    <w:rsid w:val="009C3A04"/>
    <w:rsid w:val="009C747E"/>
    <w:rsid w:val="009D49B2"/>
    <w:rsid w:val="009E53D6"/>
    <w:rsid w:val="009F0619"/>
    <w:rsid w:val="009F3B75"/>
    <w:rsid w:val="009F71D9"/>
    <w:rsid w:val="00A06C4F"/>
    <w:rsid w:val="00A12D56"/>
    <w:rsid w:val="00A204AB"/>
    <w:rsid w:val="00A21DF8"/>
    <w:rsid w:val="00A22B44"/>
    <w:rsid w:val="00A234FA"/>
    <w:rsid w:val="00A265E6"/>
    <w:rsid w:val="00A318B2"/>
    <w:rsid w:val="00A319B8"/>
    <w:rsid w:val="00A427F8"/>
    <w:rsid w:val="00A43372"/>
    <w:rsid w:val="00A440E6"/>
    <w:rsid w:val="00A4544F"/>
    <w:rsid w:val="00A47374"/>
    <w:rsid w:val="00A5069D"/>
    <w:rsid w:val="00A50742"/>
    <w:rsid w:val="00A611CB"/>
    <w:rsid w:val="00A65E8C"/>
    <w:rsid w:val="00A8092E"/>
    <w:rsid w:val="00A95FC6"/>
    <w:rsid w:val="00AA025D"/>
    <w:rsid w:val="00AA0CD5"/>
    <w:rsid w:val="00AA105C"/>
    <w:rsid w:val="00AA124E"/>
    <w:rsid w:val="00AA3830"/>
    <w:rsid w:val="00AB349F"/>
    <w:rsid w:val="00AB3598"/>
    <w:rsid w:val="00AC2E31"/>
    <w:rsid w:val="00AC5ABF"/>
    <w:rsid w:val="00AE0426"/>
    <w:rsid w:val="00AE6F5B"/>
    <w:rsid w:val="00AF64FA"/>
    <w:rsid w:val="00AF67DA"/>
    <w:rsid w:val="00B01290"/>
    <w:rsid w:val="00B032F5"/>
    <w:rsid w:val="00B05252"/>
    <w:rsid w:val="00B1025D"/>
    <w:rsid w:val="00B174B4"/>
    <w:rsid w:val="00B23D29"/>
    <w:rsid w:val="00B273D4"/>
    <w:rsid w:val="00B27ACA"/>
    <w:rsid w:val="00B31997"/>
    <w:rsid w:val="00B32CFC"/>
    <w:rsid w:val="00B343C9"/>
    <w:rsid w:val="00B34E56"/>
    <w:rsid w:val="00B40A26"/>
    <w:rsid w:val="00B40F7E"/>
    <w:rsid w:val="00B42F96"/>
    <w:rsid w:val="00B46E1E"/>
    <w:rsid w:val="00B50715"/>
    <w:rsid w:val="00B52162"/>
    <w:rsid w:val="00B52C66"/>
    <w:rsid w:val="00B539F0"/>
    <w:rsid w:val="00B53BBD"/>
    <w:rsid w:val="00B54689"/>
    <w:rsid w:val="00B82D47"/>
    <w:rsid w:val="00B85B35"/>
    <w:rsid w:val="00B874FB"/>
    <w:rsid w:val="00B928F7"/>
    <w:rsid w:val="00BA20E8"/>
    <w:rsid w:val="00BA45D2"/>
    <w:rsid w:val="00BD00D3"/>
    <w:rsid w:val="00BD34A2"/>
    <w:rsid w:val="00C01EC6"/>
    <w:rsid w:val="00C0238D"/>
    <w:rsid w:val="00C03F07"/>
    <w:rsid w:val="00C10768"/>
    <w:rsid w:val="00C11E1B"/>
    <w:rsid w:val="00C2285E"/>
    <w:rsid w:val="00C265C6"/>
    <w:rsid w:val="00C304A9"/>
    <w:rsid w:val="00C320AE"/>
    <w:rsid w:val="00C3694D"/>
    <w:rsid w:val="00C5584C"/>
    <w:rsid w:val="00C63426"/>
    <w:rsid w:val="00C719A3"/>
    <w:rsid w:val="00C71AC2"/>
    <w:rsid w:val="00C8568A"/>
    <w:rsid w:val="00C85EF2"/>
    <w:rsid w:val="00C90720"/>
    <w:rsid w:val="00CA0A54"/>
    <w:rsid w:val="00CB1ADD"/>
    <w:rsid w:val="00CC0A92"/>
    <w:rsid w:val="00CD0194"/>
    <w:rsid w:val="00CD1F13"/>
    <w:rsid w:val="00CD35D9"/>
    <w:rsid w:val="00CE4450"/>
    <w:rsid w:val="00CE5C62"/>
    <w:rsid w:val="00CF7EBF"/>
    <w:rsid w:val="00D03689"/>
    <w:rsid w:val="00D04EAB"/>
    <w:rsid w:val="00D10C31"/>
    <w:rsid w:val="00D166E8"/>
    <w:rsid w:val="00D16820"/>
    <w:rsid w:val="00D2013E"/>
    <w:rsid w:val="00D34D91"/>
    <w:rsid w:val="00D3619F"/>
    <w:rsid w:val="00D363A5"/>
    <w:rsid w:val="00D3763D"/>
    <w:rsid w:val="00D40A2F"/>
    <w:rsid w:val="00D410DA"/>
    <w:rsid w:val="00D416E6"/>
    <w:rsid w:val="00D41F6D"/>
    <w:rsid w:val="00D420A9"/>
    <w:rsid w:val="00D44FA3"/>
    <w:rsid w:val="00D46B86"/>
    <w:rsid w:val="00D501AA"/>
    <w:rsid w:val="00D51CF4"/>
    <w:rsid w:val="00D5233C"/>
    <w:rsid w:val="00D5610E"/>
    <w:rsid w:val="00D627B5"/>
    <w:rsid w:val="00D628DB"/>
    <w:rsid w:val="00D7206E"/>
    <w:rsid w:val="00D81D1E"/>
    <w:rsid w:val="00D932B2"/>
    <w:rsid w:val="00D93FDB"/>
    <w:rsid w:val="00DB12BD"/>
    <w:rsid w:val="00DB5153"/>
    <w:rsid w:val="00DC13D0"/>
    <w:rsid w:val="00DD7DCF"/>
    <w:rsid w:val="00DE09CA"/>
    <w:rsid w:val="00E15C48"/>
    <w:rsid w:val="00E251F9"/>
    <w:rsid w:val="00E27C72"/>
    <w:rsid w:val="00E319D6"/>
    <w:rsid w:val="00E33B88"/>
    <w:rsid w:val="00E345A6"/>
    <w:rsid w:val="00E376BA"/>
    <w:rsid w:val="00E45B4D"/>
    <w:rsid w:val="00E5415C"/>
    <w:rsid w:val="00E54C8C"/>
    <w:rsid w:val="00E57558"/>
    <w:rsid w:val="00E57A43"/>
    <w:rsid w:val="00E64330"/>
    <w:rsid w:val="00E6666C"/>
    <w:rsid w:val="00E67233"/>
    <w:rsid w:val="00E710F3"/>
    <w:rsid w:val="00E721B9"/>
    <w:rsid w:val="00E97455"/>
    <w:rsid w:val="00E97A4A"/>
    <w:rsid w:val="00EA02E4"/>
    <w:rsid w:val="00EC3A96"/>
    <w:rsid w:val="00EC7F51"/>
    <w:rsid w:val="00ED3677"/>
    <w:rsid w:val="00ED3AFB"/>
    <w:rsid w:val="00ED45FA"/>
    <w:rsid w:val="00EE5329"/>
    <w:rsid w:val="00EF0589"/>
    <w:rsid w:val="00EF1E5D"/>
    <w:rsid w:val="00EF4A8B"/>
    <w:rsid w:val="00F00BAB"/>
    <w:rsid w:val="00F018D6"/>
    <w:rsid w:val="00F10C08"/>
    <w:rsid w:val="00F14AAB"/>
    <w:rsid w:val="00F21BA9"/>
    <w:rsid w:val="00F259B1"/>
    <w:rsid w:val="00F34AB2"/>
    <w:rsid w:val="00F4699D"/>
    <w:rsid w:val="00F47317"/>
    <w:rsid w:val="00F476D8"/>
    <w:rsid w:val="00F61044"/>
    <w:rsid w:val="00F6304F"/>
    <w:rsid w:val="00F63E6D"/>
    <w:rsid w:val="00F710C4"/>
    <w:rsid w:val="00F76A57"/>
    <w:rsid w:val="00F77AD4"/>
    <w:rsid w:val="00F921A9"/>
    <w:rsid w:val="00F95197"/>
    <w:rsid w:val="00F95BB4"/>
    <w:rsid w:val="00F973F2"/>
    <w:rsid w:val="00FB168D"/>
    <w:rsid w:val="00FB35F6"/>
    <w:rsid w:val="00FC0B7D"/>
    <w:rsid w:val="00FC2784"/>
    <w:rsid w:val="00FC731C"/>
    <w:rsid w:val="00FD179A"/>
    <w:rsid w:val="00FD567B"/>
    <w:rsid w:val="00FE0FE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82A"/>
  <w15:chartTrackingRefBased/>
  <w15:docId w15:val="{6EC6CEE1-5867-4E2A-BBC7-6C370508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fr-FR"/>
    </w:rPr>
  </w:style>
  <w:style w:type="paragraph" w:styleId="Heading1">
    <w:name w:val="heading 1"/>
    <w:aliases w:val="H1"/>
    <w:basedOn w:val="Normal"/>
    <w:next w:val="Normal"/>
    <w:link w:val="Heading1Char"/>
    <w:uiPriority w:val="9"/>
    <w:qFormat/>
    <w:rsid w:val="00901192"/>
    <w:pPr>
      <w:keepNext/>
      <w:keepLines/>
      <w:numPr>
        <w:numId w:val="6"/>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4"/>
      </w:numPr>
    </w:pPr>
  </w:style>
  <w:style w:type="numbering" w:customStyle="1" w:styleId="Cijfers">
    <w:name w:val="Cijfers"/>
    <w:uiPriority w:val="99"/>
    <w:rsid w:val="003B3233"/>
    <w:pPr>
      <w:numPr>
        <w:numId w:val="2"/>
      </w:numPr>
    </w:pPr>
  </w:style>
  <w:style w:type="paragraph" w:customStyle="1" w:styleId="ListNumbers">
    <w:name w:val="List Numbers"/>
    <w:basedOn w:val="Normal"/>
    <w:uiPriority w:val="2"/>
    <w:qFormat/>
    <w:rsid w:val="003B3233"/>
    <w:pPr>
      <w:numPr>
        <w:numId w:val="5"/>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9"/>
    <w:rsid w:val="00901192"/>
    <w:rPr>
      <w:rFonts w:asciiTheme="majorHAnsi" w:eastAsia="Times New Roman" w:hAnsiTheme="majorHAnsi" w:cs="Times New Roman"/>
      <w:b/>
      <w:sz w:val="28"/>
      <w:lang w:val="fr-FR"/>
    </w:rPr>
  </w:style>
  <w:style w:type="character" w:customStyle="1" w:styleId="Heading2Char">
    <w:name w:val="Heading 2 Char"/>
    <w:aliases w:val="H2 Char"/>
    <w:basedOn w:val="DefaultParagraphFont"/>
    <w:link w:val="Heading2"/>
    <w:uiPriority w:val="9"/>
    <w:rsid w:val="001E6468"/>
    <w:rPr>
      <w:rFonts w:asciiTheme="majorHAnsi" w:eastAsia="Times New Roman" w:hAnsiTheme="majorHAnsi" w:cs="Times New Roman"/>
      <w:b/>
      <w:sz w:val="24"/>
      <w:lang w:val="fr-FR"/>
    </w:rPr>
  </w:style>
  <w:style w:type="character" w:customStyle="1" w:styleId="Heading3Char">
    <w:name w:val="Heading 3 Char"/>
    <w:aliases w:val="H3 Char"/>
    <w:basedOn w:val="DefaultParagraphFont"/>
    <w:link w:val="Heading3"/>
    <w:uiPriority w:val="9"/>
    <w:rsid w:val="001E6468"/>
    <w:rPr>
      <w:rFonts w:asciiTheme="majorHAnsi" w:eastAsia="Times New Roman" w:hAnsiTheme="majorHAnsi" w:cs="Times New Roman"/>
      <w:b/>
      <w:color w:val="000000" w:themeColor="text1"/>
      <w:sz w:val="21"/>
      <w:lang w:val="fr-FR"/>
    </w:rPr>
  </w:style>
  <w:style w:type="numbering" w:customStyle="1" w:styleId="Koppenlijst">
    <w:name w:val="Koppenlijst"/>
    <w:uiPriority w:val="99"/>
    <w:rsid w:val="00AB3598"/>
    <w:pPr>
      <w:numPr>
        <w:numId w:val="3"/>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aliases w:val="Tableau Adere,Numbered List Paragraph,List Paragraph (numbered (a)),References,WB List Paragraph,Liste 1,ReferencesCxSpLast,Paragraphe de liste1,Paragraphe de liste11,Lapis Bulleted List,List Paragraph nowy,Paragraphe  revu,Titre1"/>
    <w:basedOn w:val="Normal"/>
    <w:link w:val="ListParagraphChar"/>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E319D6"/>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E319D6"/>
    <w:rPr>
      <w:sz w:val="16"/>
      <w:szCs w:val="16"/>
    </w:rPr>
  </w:style>
  <w:style w:type="paragraph" w:styleId="CommentText">
    <w:name w:val="annotation text"/>
    <w:basedOn w:val="Normal"/>
    <w:link w:val="CommentTextChar"/>
    <w:uiPriority w:val="99"/>
    <w:unhideWhenUsed/>
    <w:rsid w:val="00E319D6"/>
    <w:pPr>
      <w:spacing w:line="240" w:lineRule="auto"/>
    </w:pPr>
    <w:rPr>
      <w:sz w:val="20"/>
    </w:rPr>
  </w:style>
  <w:style w:type="character" w:customStyle="1" w:styleId="CommentTextChar">
    <w:name w:val="Comment Text Char"/>
    <w:basedOn w:val="DefaultParagraphFont"/>
    <w:link w:val="CommentText"/>
    <w:uiPriority w:val="99"/>
    <w:rsid w:val="00E319D6"/>
    <w:rPr>
      <w:lang w:val="en-GB"/>
    </w:rPr>
  </w:style>
  <w:style w:type="character" w:customStyle="1" w:styleId="ListParagraphChar">
    <w:name w:val="List Paragraph Char"/>
    <w:aliases w:val="Tableau Adere Char,Numbered List Paragraph Char,List Paragraph (numbered (a)) Char,References Char,WB List Paragraph Char,Liste 1 Char,ReferencesCxSpLast Char,Paragraphe de liste1 Char,Paragraphe de liste11 Char,Paragraphe  revu Char"/>
    <w:link w:val="ListParagraph"/>
    <w:uiPriority w:val="34"/>
    <w:qFormat/>
    <w:rsid w:val="00613F09"/>
    <w:rPr>
      <w:rFonts w:ascii="Verdana" w:eastAsia="Times New Roman" w:hAnsi="Verdana" w:cs="Times New Roman"/>
      <w:sz w:val="17"/>
      <w:lang w:val="en-GB"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7688">
      <w:bodyDiv w:val="1"/>
      <w:marLeft w:val="0"/>
      <w:marRight w:val="0"/>
      <w:marTop w:val="0"/>
      <w:marBottom w:val="0"/>
      <w:divBdr>
        <w:top w:val="none" w:sz="0" w:space="0" w:color="auto"/>
        <w:left w:val="none" w:sz="0" w:space="0" w:color="auto"/>
        <w:bottom w:val="none" w:sz="0" w:space="0" w:color="auto"/>
        <w:right w:val="none" w:sz="0" w:space="0" w:color="auto"/>
      </w:divBdr>
    </w:div>
    <w:div w:id="178273969">
      <w:bodyDiv w:val="1"/>
      <w:marLeft w:val="0"/>
      <w:marRight w:val="0"/>
      <w:marTop w:val="0"/>
      <w:marBottom w:val="0"/>
      <w:divBdr>
        <w:top w:val="none" w:sz="0" w:space="0" w:color="auto"/>
        <w:left w:val="none" w:sz="0" w:space="0" w:color="auto"/>
        <w:bottom w:val="none" w:sz="0" w:space="0" w:color="auto"/>
        <w:right w:val="none" w:sz="0" w:space="0" w:color="auto"/>
      </w:divBdr>
    </w:div>
    <w:div w:id="573009067">
      <w:bodyDiv w:val="1"/>
      <w:marLeft w:val="0"/>
      <w:marRight w:val="0"/>
      <w:marTop w:val="0"/>
      <w:marBottom w:val="0"/>
      <w:divBdr>
        <w:top w:val="none" w:sz="0" w:space="0" w:color="auto"/>
        <w:left w:val="none" w:sz="0" w:space="0" w:color="auto"/>
        <w:bottom w:val="none" w:sz="0" w:space="0" w:color="auto"/>
        <w:right w:val="none" w:sz="0" w:space="0" w:color="auto"/>
      </w:divBdr>
    </w:div>
    <w:div w:id="705643857">
      <w:bodyDiv w:val="1"/>
      <w:marLeft w:val="0"/>
      <w:marRight w:val="0"/>
      <w:marTop w:val="0"/>
      <w:marBottom w:val="0"/>
      <w:divBdr>
        <w:top w:val="none" w:sz="0" w:space="0" w:color="auto"/>
        <w:left w:val="none" w:sz="0" w:space="0" w:color="auto"/>
        <w:bottom w:val="none" w:sz="0" w:space="0" w:color="auto"/>
        <w:right w:val="none" w:sz="0" w:space="0" w:color="auto"/>
      </w:divBdr>
    </w:div>
    <w:div w:id="851144156">
      <w:bodyDiv w:val="1"/>
      <w:marLeft w:val="0"/>
      <w:marRight w:val="0"/>
      <w:marTop w:val="0"/>
      <w:marBottom w:val="0"/>
      <w:divBdr>
        <w:top w:val="none" w:sz="0" w:space="0" w:color="auto"/>
        <w:left w:val="none" w:sz="0" w:space="0" w:color="auto"/>
        <w:bottom w:val="none" w:sz="0" w:space="0" w:color="auto"/>
        <w:right w:val="none" w:sz="0" w:space="0" w:color="auto"/>
      </w:divBdr>
    </w:div>
    <w:div w:id="926112627">
      <w:bodyDiv w:val="1"/>
      <w:marLeft w:val="0"/>
      <w:marRight w:val="0"/>
      <w:marTop w:val="0"/>
      <w:marBottom w:val="0"/>
      <w:divBdr>
        <w:top w:val="none" w:sz="0" w:space="0" w:color="auto"/>
        <w:left w:val="none" w:sz="0" w:space="0" w:color="auto"/>
        <w:bottom w:val="none" w:sz="0" w:space="0" w:color="auto"/>
        <w:right w:val="none" w:sz="0" w:space="0" w:color="auto"/>
      </w:divBdr>
    </w:div>
    <w:div w:id="956448536">
      <w:bodyDiv w:val="1"/>
      <w:marLeft w:val="0"/>
      <w:marRight w:val="0"/>
      <w:marTop w:val="0"/>
      <w:marBottom w:val="0"/>
      <w:divBdr>
        <w:top w:val="none" w:sz="0" w:space="0" w:color="auto"/>
        <w:left w:val="none" w:sz="0" w:space="0" w:color="auto"/>
        <w:bottom w:val="none" w:sz="0" w:space="0" w:color="auto"/>
        <w:right w:val="none" w:sz="0" w:space="0" w:color="auto"/>
      </w:divBdr>
    </w:div>
    <w:div w:id="1344940034">
      <w:bodyDiv w:val="1"/>
      <w:marLeft w:val="0"/>
      <w:marRight w:val="0"/>
      <w:marTop w:val="0"/>
      <w:marBottom w:val="0"/>
      <w:divBdr>
        <w:top w:val="none" w:sz="0" w:space="0" w:color="auto"/>
        <w:left w:val="none" w:sz="0" w:space="0" w:color="auto"/>
        <w:bottom w:val="none" w:sz="0" w:space="0" w:color="auto"/>
        <w:right w:val="none" w:sz="0" w:space="0" w:color="auto"/>
      </w:divBdr>
    </w:div>
    <w:div w:id="1379431187">
      <w:bodyDiv w:val="1"/>
      <w:marLeft w:val="0"/>
      <w:marRight w:val="0"/>
      <w:marTop w:val="0"/>
      <w:marBottom w:val="0"/>
      <w:divBdr>
        <w:top w:val="none" w:sz="0" w:space="0" w:color="auto"/>
        <w:left w:val="none" w:sz="0" w:space="0" w:color="auto"/>
        <w:bottom w:val="none" w:sz="0" w:space="0" w:color="auto"/>
        <w:right w:val="none" w:sz="0" w:space="0" w:color="auto"/>
      </w:divBdr>
    </w:div>
    <w:div w:id="1511798420">
      <w:bodyDiv w:val="1"/>
      <w:marLeft w:val="0"/>
      <w:marRight w:val="0"/>
      <w:marTop w:val="0"/>
      <w:marBottom w:val="0"/>
      <w:divBdr>
        <w:top w:val="none" w:sz="0" w:space="0" w:color="auto"/>
        <w:left w:val="none" w:sz="0" w:space="0" w:color="auto"/>
        <w:bottom w:val="none" w:sz="0" w:space="0" w:color="auto"/>
        <w:right w:val="none" w:sz="0" w:space="0" w:color="auto"/>
      </w:divBdr>
    </w:div>
    <w:div w:id="1562903473">
      <w:bodyDiv w:val="1"/>
      <w:marLeft w:val="0"/>
      <w:marRight w:val="0"/>
      <w:marTop w:val="0"/>
      <w:marBottom w:val="0"/>
      <w:divBdr>
        <w:top w:val="none" w:sz="0" w:space="0" w:color="auto"/>
        <w:left w:val="none" w:sz="0" w:space="0" w:color="auto"/>
        <w:bottom w:val="none" w:sz="0" w:space="0" w:color="auto"/>
        <w:right w:val="none" w:sz="0" w:space="0" w:color="auto"/>
      </w:divBdr>
    </w:div>
    <w:div w:id="1736902082">
      <w:bodyDiv w:val="1"/>
      <w:marLeft w:val="0"/>
      <w:marRight w:val="0"/>
      <w:marTop w:val="0"/>
      <w:marBottom w:val="0"/>
      <w:divBdr>
        <w:top w:val="none" w:sz="0" w:space="0" w:color="auto"/>
        <w:left w:val="none" w:sz="0" w:space="0" w:color="auto"/>
        <w:bottom w:val="none" w:sz="0" w:space="0" w:color="auto"/>
        <w:right w:val="none" w:sz="0" w:space="0" w:color="auto"/>
      </w:divBdr>
    </w:div>
    <w:div w:id="2027972899">
      <w:bodyDiv w:val="1"/>
      <w:marLeft w:val="0"/>
      <w:marRight w:val="0"/>
      <w:marTop w:val="0"/>
      <w:marBottom w:val="0"/>
      <w:divBdr>
        <w:top w:val="none" w:sz="0" w:space="0" w:color="auto"/>
        <w:left w:val="none" w:sz="0" w:space="0" w:color="auto"/>
        <w:bottom w:val="none" w:sz="0" w:space="0" w:color="auto"/>
        <w:right w:val="none" w:sz="0" w:space="0" w:color="auto"/>
      </w:divBdr>
    </w:div>
    <w:div w:id="213405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liprocurement@sn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334\OneDrive%20-%20SNV\Branding\1.%20New%20Brand%20Identity\Assets\Corporate%20Assets\7_MS%20Office%20Templates\Templates%20for%20Units\Sample%20ToR%20(General)_NEW-DESKTOP-ILR89PV.dotx" TargetMode="External"/></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Value>21</Value>
    </TaxCatchAll>
    <adb6d10904b34eeda4b6f1de5c5619de xmlns="e387ade4-6730-4aab-9d7a-b895e19528e3">
      <Terms xmlns="http://schemas.microsoft.com/office/infopath/2007/PartnerControls"/>
    </adb6d10904b34eeda4b6f1de5c5619de>
    <d57ad63fa78849afa577c8c887712ecc xmlns="e387ade4-6730-4aab-9d7a-b895e19528e3">
      <Terms xmlns="http://schemas.microsoft.com/office/infopath/2007/PartnerControls">
        <TermInfo xmlns="http://schemas.microsoft.com/office/infopath/2007/PartnerControls">
          <TermName xmlns="http://schemas.microsoft.com/office/infopath/2007/PartnerControls">Marketing ＆ BD</TermName>
          <TermId xmlns="http://schemas.microsoft.com/office/infopath/2007/PartnerControls">b171bc62-36ea-4145-902a-b9a4f959198b</TermId>
        </TermInfo>
      </Terms>
    </d57ad63fa78849afa577c8c887712ecc>
    <Approval-Comments xmlns="e387ade4-6730-4aab-9d7a-b895e19528e3" xsi:nil="true"/>
    <Approved xmlns="e387ade4-6730-4aab-9d7a-b895e19528e3">Pending</Approved>
  </documentManagement>
</p:properties>
</file>

<file path=customXml/item3.xml><?xml version="1.0" encoding="utf-8"?>
<?mso-contentType ?>
<SharedContentType xmlns="Microsoft.SharePoint.Taxonomy.ContentTypeSync" SourceId="9d7329dd-438a-4558-bb02-8c32828ba005" ContentTypeId="0x0101003B880B5341501748A5B19F006461644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 ma:contentTypeID="0x0101003B880B5341501748A5B19F00646164400059A0EF81B292C244943EC30ACB64F2BC" ma:contentTypeVersion="8" ma:contentTypeDescription="" ma:contentTypeScope="" ma:versionID="415a89a09740945db82562a037d31ee2">
  <xsd:schema xmlns:xsd="http://www.w3.org/2001/XMLSchema" xmlns:xs="http://www.w3.org/2001/XMLSchema" xmlns:p="http://schemas.microsoft.com/office/2006/metadata/properties" xmlns:ns2="e387ade4-6730-4aab-9d7a-b895e19528e3" targetNamespace="http://schemas.microsoft.com/office/2006/metadata/properties" ma:root="true" ma:fieldsID="93522973420a9a1b67d560c8c500829a" ns2:_="">
    <xsd:import namespace="e387ade4-6730-4aab-9d7a-b895e19528e3"/>
    <xsd:element name="properties">
      <xsd:complexType>
        <xsd:sequence>
          <xsd:element name="documentManagement">
            <xsd:complexType>
              <xsd:all>
                <xsd:element ref="ns2:Approval-Comments" minOccurs="0"/>
                <xsd:element ref="ns2:Approved" minOccurs="0"/>
                <xsd:element ref="ns2:d57ad63fa78849afa577c8c887712ecc" minOccurs="0"/>
                <xsd:element ref="ns2:TaxCatchAll" minOccurs="0"/>
                <xsd:element ref="ns2:TaxCatchAllLabel" minOccurs="0"/>
                <xsd:element ref="ns2:adb6d10904b34eeda4b6f1de5c5619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Approval-Comments" ma:index="8" nillable="true" ma:displayName="Approval-Comments" ma:description="Please explain to the submitter why you Approve or Reject" ma:internalName="Approval_x002d_Comments">
      <xsd:simpleType>
        <xsd:restriction base="dms:Note">
          <xsd:maxLength value="255"/>
        </xsd:restriction>
      </xsd:simpleType>
    </xsd:element>
    <xsd:element name="Approved" ma:index="9" nillable="true" ma:displayName="Approved" ma:default="Pending" ma:format="RadioButtons" ma:internalName="Approved">
      <xsd:simpleType>
        <xsd:restriction base="dms:Choice">
          <xsd:enumeration value="Approved"/>
          <xsd:enumeration value="Rejected"/>
          <xsd:enumeration value="Pending"/>
        </xsd:restriction>
      </xsd:simpleType>
    </xsd:element>
    <xsd:element name="d57ad63fa78849afa577c8c887712ecc" ma:index="10" nillable="true" ma:taxonomy="true" ma:internalName="d57ad63fa78849afa577c8c887712ecc" ma:taxonomyFieldName="OrgUnit" ma:displayName="OrgUnit" ma:default="" ma:fieldId="{d57ad63f-a788-49af-a577-c8c887712ecc}" ma:taxonomyMulti="true" ma:sspId="9d7329dd-438a-4558-bb02-8c32828ba005" ma:termSetId="0aa0795d-9b39-4c9d-a1de-c8615d5d934e"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715d22e-8a49-4896-8c9b-252341cf278c}" ma:internalName="TaxCatchAll" ma:showField="CatchAllData"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15d22e-8a49-4896-8c9b-252341cf278c}" ma:internalName="TaxCatchAllLabel" ma:readOnly="true" ma:showField="CatchAllDataLabel"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adb6d10904b34eeda4b6f1de5c5619de" ma:index="14" nillable="true" ma:taxonomy="true" ma:internalName="adb6d10904b34eeda4b6f1de5c5619de" ma:taxonomyFieldName="Topics" ma:displayName="Topics" ma:default="" ma:fieldId="{adb6d109-04b3-4eed-a4b6-f1de5c5619de}" ma:taxonomyMulti="true" ma:sspId="9d7329dd-438a-4558-bb02-8c32828ba005" ma:termSetId="23d55ef9-2cfb-4312-a973-f5abc3ece66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e387ade4-6730-4aab-9d7a-b895e19528e3"/>
  </ds:schemaRefs>
</ds:datastoreItem>
</file>

<file path=customXml/itemProps3.xml><?xml version="1.0" encoding="utf-8"?>
<ds:datastoreItem xmlns:ds="http://schemas.openxmlformats.org/officeDocument/2006/customXml" ds:itemID="{C83011AF-8DC1-4CAC-9E6F-97D564C0AEAE}">
  <ds:schemaRefs>
    <ds:schemaRef ds:uri="Microsoft.SharePoint.Taxonomy.ContentTypeSync"/>
  </ds:schemaRefs>
</ds:datastoreItem>
</file>

<file path=customXml/itemProps4.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5.xml><?xml version="1.0" encoding="utf-8"?>
<ds:datastoreItem xmlns:ds="http://schemas.openxmlformats.org/officeDocument/2006/customXml" ds:itemID="{DF7FBE38-0314-432B-ADC8-6622B029B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Sample ToR (General)_NEW-DESKTOP-ILR89PV.dotx</Template>
  <TotalTime>2</TotalTime>
  <Pages>11</Pages>
  <Words>3832</Words>
  <Characters>21077</Characters>
  <Application>Microsoft Office Word</Application>
  <DocSecurity>0</DocSecurity>
  <Lines>175</Lines>
  <Paragraphs>49</Paragraphs>
  <ScaleCrop>false</ScaleCrop>
  <HeadingPairs>
    <vt:vector size="12" baseType="variant">
      <vt:variant>
        <vt:lpstr>Titre</vt:lpstr>
      </vt:variant>
      <vt:variant>
        <vt:i4>1</vt:i4>
      </vt:variant>
      <vt:variant>
        <vt:lpstr>Titres</vt:lpstr>
      </vt:variant>
      <vt:variant>
        <vt:i4>11</vt:i4>
      </vt:variant>
      <vt:variant>
        <vt:lpstr>Title</vt:lpstr>
      </vt:variant>
      <vt:variant>
        <vt:i4>1</vt:i4>
      </vt:variant>
      <vt:variant>
        <vt:lpstr>Headings</vt:lpstr>
      </vt:variant>
      <vt:variant>
        <vt:i4>14</vt:i4>
      </vt:variant>
      <vt:variant>
        <vt:lpstr>Titel</vt:lpstr>
      </vt:variant>
      <vt:variant>
        <vt:i4>1</vt:i4>
      </vt:variant>
      <vt:variant>
        <vt:lpstr>Koppen</vt:lpstr>
      </vt:variant>
      <vt:variant>
        <vt:i4>4</vt:i4>
      </vt:variant>
    </vt:vector>
  </HeadingPairs>
  <TitlesOfParts>
    <vt:vector size="32" baseType="lpstr">
      <vt:lpstr>General Terms of Reference Template</vt:lpstr>
      <vt:lpstr>À propos de SNV</vt:lpstr>
      <vt:lpstr>Contexte et objectifs de la mission</vt:lpstr>
      <vt:lpstr>Aperçu de la mission et champ d’intervention / Livrables</vt:lpstr>
      <vt:lpstr>Droits d’auteur et propriété intellectuelle […] </vt:lpstr>
      <vt:lpstr>Dossier de l’offre</vt:lpstr>
      <vt:lpstr>Contract project fees and duration </vt:lpstr>
      <vt:lpstr>Modalités de paiement</vt:lpstr>
      <vt:lpstr>Conformité aux exigences clés</vt:lpstr>
      <vt:lpstr>Annexe</vt:lpstr>
      <vt:lpstr/>
      <vt:lpstr/>
      <vt:lpstr/>
      <vt:lpstr>About SNV</vt:lpstr>
      <vt:lpstr>Background and objectives of assignment </vt:lpstr>
      <vt:lpstr>Assignment overview and scope of work / deliverables</vt:lpstr>
      <vt:lpstr>Copyright and intellectual property rights</vt:lpstr>
      <vt:lpstr>Evaluation criteria</vt:lpstr>
      <vt:lpstr>Contract project fees and duration </vt:lpstr>
      <vt:lpstr>Payment terms</vt:lpstr>
      <vt:lpstr>Key compliance issues </vt:lpstr>
      <vt:lpstr>Due diligence instructions</vt:lpstr>
      <vt:lpstr/>
      <vt:lpstr/>
      <vt:lpstr>Submission requirements</vt:lpstr>
      <vt:lpstr/>
      <vt:lpstr/>
      <vt:lpstr/>
      <vt:lpstr>Heading:H1 (Vraag, moet een hoofdstuk boven aan op een nieuwe pagina beginnen of</vt:lpstr>
      <vt:lpstr>    Sub heading:H2</vt:lpstr>
      <vt:lpstr>        Sub sub heading</vt:lpstr>
      <vt:lpstr>Unnumbered heading:UL1</vt:lpstr>
    </vt:vector>
  </TitlesOfParts>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Reference Template</dc:title>
  <dc:subject/>
  <dc:creator>Schulte, Judith</dc:creator>
  <cp:keywords/>
  <dc:description>Template by HQ Solutions</dc:description>
  <cp:lastModifiedBy>Keïta, René</cp:lastModifiedBy>
  <cp:revision>3</cp:revision>
  <cp:lastPrinted>2025-08-22T08:58:00Z</cp:lastPrinted>
  <dcterms:created xsi:type="dcterms:W3CDTF">2025-08-21T15:28:00Z</dcterms:created>
  <dcterms:modified xsi:type="dcterms:W3CDTF">2025-08-22T08:58:00Z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0x0101003B880B5341501748A5B19F00646164400059A0EF81B292C244943EC30ACB64F2BC</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
  </property>
  <property fmtid="{D5CDD505-2E9C-101B-9397-08002B2CF9AE}" pid="9" name="OrgUnit">
    <vt:lpwstr>21;#Marketing ＆ BD|b171bc62-36ea-4145-902a-b9a4f959198b</vt:lpwstr>
  </property>
  <property fmtid="{D5CDD505-2E9C-101B-9397-08002B2CF9AE}" pid="10" name="Action">
    <vt:lpwstr>Approve/Change</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
  </property>
  <property fmtid="{D5CDD505-2E9C-101B-9397-08002B2CF9AE}" pid="16" name="PublishedFrom">
    <vt:lpwstr>/teams/comms/Corporate/2. Live - Final assets/Templates/Sample ToR (General).docx</vt:lpwstr>
  </property>
  <property fmtid="{D5CDD505-2E9C-101B-9397-08002B2CF9AE}" pid="17" name="PublishedBy">
    <vt:lpwstr>3410</vt:lpwstr>
  </property>
  <property fmtid="{D5CDD505-2E9C-101B-9397-08002B2CF9AE}" pid="18" name="Approval">
    <vt:lpwstr>https://snvworld.sharepoint.com/teams/comms/_layouts/15/wrkstat.aspx?List=c6b5491d-bf62-4a68-a1d9-157ba19596e6&amp;WorkflowInstanceName=06fbcf0e-09c6-4b13-a026-6c7f881acb69, WF Details</vt:lpwstr>
  </property>
</Properties>
</file>