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F8FE" w:themeFill="background2"/>
        <w:tblCellMar>
          <w:left w:w="57" w:type="dxa"/>
          <w:right w:w="57" w:type="dxa"/>
        </w:tblCellMar>
        <w:tblLook w:val="04A0" w:firstRow="1" w:lastRow="0" w:firstColumn="1" w:lastColumn="0" w:noHBand="0" w:noVBand="1"/>
      </w:tblPr>
      <w:tblGrid>
        <w:gridCol w:w="2820"/>
        <w:gridCol w:w="6029"/>
      </w:tblGrid>
      <w:tr w:rsidR="002623EB" w:rsidRPr="008E49A5" w14:paraId="7A8B71AE" w14:textId="77777777" w:rsidTr="002623EB">
        <w:tc>
          <w:tcPr>
            <w:tcW w:w="2820" w:type="dxa"/>
            <w:shd w:val="clear" w:color="auto" w:fill="EFF8FE" w:themeFill="background2"/>
          </w:tcPr>
          <w:p w14:paraId="4B590F44" w14:textId="77777777" w:rsidR="002623EB" w:rsidRPr="008E49A5" w:rsidRDefault="002623EB" w:rsidP="009F6019">
            <w:pPr>
              <w:autoSpaceDE w:val="0"/>
              <w:autoSpaceDN w:val="0"/>
              <w:adjustRightInd w:val="0"/>
              <w:rPr>
                <w:rFonts w:cstheme="minorHAnsi"/>
                <w:b/>
                <w:sz w:val="22"/>
                <w:szCs w:val="22"/>
                <w:lang w:val="fr-FR"/>
              </w:rPr>
            </w:pPr>
            <w:r w:rsidRPr="008E49A5">
              <w:rPr>
                <w:rFonts w:cstheme="minorHAnsi"/>
                <w:b/>
                <w:sz w:val="22"/>
                <w:szCs w:val="22"/>
                <w:lang w:val="fr-FR"/>
              </w:rPr>
              <w:t>Organisation</w:t>
            </w:r>
          </w:p>
        </w:tc>
        <w:tc>
          <w:tcPr>
            <w:tcW w:w="6029" w:type="dxa"/>
            <w:shd w:val="clear" w:color="auto" w:fill="EFF8FE" w:themeFill="background2"/>
          </w:tcPr>
          <w:p w14:paraId="32AB8EA0" w14:textId="33BC02D4" w:rsidR="002623EB" w:rsidRPr="008E49A5" w:rsidRDefault="002623EB" w:rsidP="009F6019">
            <w:pPr>
              <w:autoSpaceDE w:val="0"/>
              <w:autoSpaceDN w:val="0"/>
              <w:adjustRightInd w:val="0"/>
              <w:jc w:val="both"/>
              <w:rPr>
                <w:rFonts w:cstheme="minorHAnsi"/>
                <w:b/>
                <w:sz w:val="22"/>
                <w:szCs w:val="22"/>
                <w:lang w:val="fr-FR"/>
              </w:rPr>
            </w:pPr>
            <w:r w:rsidRPr="008E49A5">
              <w:rPr>
                <w:rFonts w:cstheme="minorHAnsi"/>
                <w:b/>
                <w:sz w:val="22"/>
                <w:szCs w:val="22"/>
                <w:lang w:val="fr-FR"/>
              </w:rPr>
              <w:t xml:space="preserve">SNV </w:t>
            </w:r>
            <w:r w:rsidR="007B23F1" w:rsidRPr="008E49A5">
              <w:rPr>
                <w:rFonts w:cstheme="minorHAnsi"/>
                <w:b/>
                <w:sz w:val="22"/>
                <w:szCs w:val="22"/>
                <w:lang w:val="fr-FR"/>
              </w:rPr>
              <w:t>Mali</w:t>
            </w:r>
          </w:p>
        </w:tc>
      </w:tr>
      <w:tr w:rsidR="002623EB" w:rsidRPr="008E49A5" w14:paraId="63FB6A2E" w14:textId="77777777" w:rsidTr="002623EB">
        <w:tc>
          <w:tcPr>
            <w:tcW w:w="2820" w:type="dxa"/>
            <w:shd w:val="clear" w:color="auto" w:fill="EFF8FE" w:themeFill="background2"/>
          </w:tcPr>
          <w:p w14:paraId="52950D15" w14:textId="5E56E118" w:rsidR="002623EB" w:rsidRPr="008E49A5" w:rsidRDefault="007B23F1" w:rsidP="009F6019">
            <w:pPr>
              <w:autoSpaceDE w:val="0"/>
              <w:autoSpaceDN w:val="0"/>
              <w:adjustRightInd w:val="0"/>
              <w:rPr>
                <w:rFonts w:cstheme="minorHAnsi"/>
                <w:b/>
                <w:sz w:val="22"/>
                <w:szCs w:val="22"/>
                <w:lang w:val="fr-FR"/>
              </w:rPr>
            </w:pPr>
            <w:r w:rsidRPr="008E49A5">
              <w:rPr>
                <w:rFonts w:cstheme="minorHAnsi"/>
                <w:b/>
                <w:sz w:val="22"/>
                <w:szCs w:val="22"/>
                <w:lang w:val="fr-FR"/>
              </w:rPr>
              <w:t>Projet</w:t>
            </w:r>
          </w:p>
        </w:tc>
        <w:tc>
          <w:tcPr>
            <w:tcW w:w="6029" w:type="dxa"/>
            <w:shd w:val="clear" w:color="auto" w:fill="EFF8FE" w:themeFill="background2"/>
          </w:tcPr>
          <w:p w14:paraId="3B23B59F" w14:textId="04DEF43D" w:rsidR="002623EB" w:rsidRPr="008E49A5" w:rsidRDefault="00A47704" w:rsidP="009F6019">
            <w:pPr>
              <w:autoSpaceDE w:val="0"/>
              <w:autoSpaceDN w:val="0"/>
              <w:adjustRightInd w:val="0"/>
              <w:jc w:val="both"/>
              <w:rPr>
                <w:rFonts w:cstheme="minorHAnsi"/>
                <w:bCs/>
                <w:sz w:val="22"/>
                <w:szCs w:val="22"/>
                <w:lang w:val="fr-FR"/>
              </w:rPr>
            </w:pPr>
            <w:r>
              <w:rPr>
                <w:rFonts w:cstheme="minorHAnsi"/>
                <w:bCs/>
                <w:sz w:val="22"/>
                <w:szCs w:val="22"/>
                <w:lang w:val="fr-FR"/>
              </w:rPr>
              <w:t>PGLR+</w:t>
            </w:r>
          </w:p>
        </w:tc>
      </w:tr>
      <w:tr w:rsidR="002623EB" w:rsidRPr="00A47704" w14:paraId="56D638A5" w14:textId="77777777" w:rsidTr="002623EB">
        <w:tc>
          <w:tcPr>
            <w:tcW w:w="2820" w:type="dxa"/>
            <w:shd w:val="clear" w:color="auto" w:fill="EFF8FE" w:themeFill="background2"/>
          </w:tcPr>
          <w:p w14:paraId="3F25433F" w14:textId="03547ED5" w:rsidR="002623EB" w:rsidRPr="008E49A5" w:rsidRDefault="002623EB" w:rsidP="009F6019">
            <w:pPr>
              <w:autoSpaceDE w:val="0"/>
              <w:autoSpaceDN w:val="0"/>
              <w:adjustRightInd w:val="0"/>
              <w:rPr>
                <w:rFonts w:cstheme="minorHAnsi"/>
                <w:b/>
                <w:sz w:val="22"/>
                <w:szCs w:val="22"/>
                <w:lang w:val="fr-FR"/>
              </w:rPr>
            </w:pPr>
            <w:r w:rsidRPr="008E49A5">
              <w:rPr>
                <w:rFonts w:cstheme="minorHAnsi"/>
                <w:b/>
                <w:sz w:val="22"/>
                <w:szCs w:val="22"/>
                <w:lang w:val="fr-FR"/>
              </w:rPr>
              <w:t>A</w:t>
            </w:r>
            <w:r w:rsidR="007B23F1" w:rsidRPr="008E49A5">
              <w:rPr>
                <w:rFonts w:cstheme="minorHAnsi"/>
                <w:b/>
                <w:sz w:val="22"/>
                <w:szCs w:val="22"/>
                <w:lang w:val="fr-FR"/>
              </w:rPr>
              <w:t>ctivité</w:t>
            </w:r>
            <w:r w:rsidRPr="008E49A5">
              <w:rPr>
                <w:rFonts w:cstheme="minorHAnsi"/>
                <w:b/>
                <w:sz w:val="22"/>
                <w:szCs w:val="22"/>
                <w:lang w:val="fr-FR"/>
              </w:rPr>
              <w:t xml:space="preserve">  </w:t>
            </w:r>
          </w:p>
        </w:tc>
        <w:tc>
          <w:tcPr>
            <w:tcW w:w="6029" w:type="dxa"/>
            <w:shd w:val="clear" w:color="auto" w:fill="EFF8FE" w:themeFill="background2"/>
          </w:tcPr>
          <w:p w14:paraId="1391AE3E" w14:textId="15568318" w:rsidR="002623EB" w:rsidRPr="008E49A5" w:rsidRDefault="00A47704" w:rsidP="009F6019">
            <w:pPr>
              <w:autoSpaceDE w:val="0"/>
              <w:autoSpaceDN w:val="0"/>
              <w:adjustRightInd w:val="0"/>
              <w:jc w:val="both"/>
              <w:rPr>
                <w:rFonts w:cstheme="minorHAnsi"/>
                <w:bCs/>
                <w:sz w:val="22"/>
                <w:szCs w:val="22"/>
                <w:lang w:val="fr-FR"/>
              </w:rPr>
            </w:pPr>
            <w:r w:rsidRPr="00A47704">
              <w:rPr>
                <w:rFonts w:cstheme="minorHAnsi"/>
                <w:bCs/>
                <w:sz w:val="22"/>
                <w:szCs w:val="22"/>
                <w:lang w:val="fr-FR"/>
              </w:rPr>
              <w:t>Formation des formateurs des membres du bureau du conseil national de la jeunesse du mali (</w:t>
            </w:r>
            <w:r w:rsidR="00B04732">
              <w:rPr>
                <w:rFonts w:cstheme="minorHAnsi"/>
                <w:bCs/>
                <w:sz w:val="22"/>
                <w:szCs w:val="22"/>
                <w:lang w:val="fr-FR"/>
              </w:rPr>
              <w:t>CNJ</w:t>
            </w:r>
            <w:r w:rsidRPr="00A47704">
              <w:rPr>
                <w:rFonts w:cstheme="minorHAnsi"/>
                <w:bCs/>
                <w:sz w:val="22"/>
                <w:szCs w:val="22"/>
                <w:lang w:val="fr-FR"/>
              </w:rPr>
              <w:t>-mali)</w:t>
            </w:r>
          </w:p>
        </w:tc>
      </w:tr>
      <w:tr w:rsidR="002623EB" w:rsidRPr="008E49A5" w14:paraId="0977AC40" w14:textId="77777777" w:rsidTr="002623EB">
        <w:tc>
          <w:tcPr>
            <w:tcW w:w="2820" w:type="dxa"/>
            <w:shd w:val="clear" w:color="auto" w:fill="EFF8FE" w:themeFill="background2"/>
          </w:tcPr>
          <w:p w14:paraId="7347EDA7" w14:textId="7A6B5C3E" w:rsidR="002623EB" w:rsidRPr="008E49A5" w:rsidRDefault="002623EB" w:rsidP="009F6019">
            <w:pPr>
              <w:autoSpaceDE w:val="0"/>
              <w:autoSpaceDN w:val="0"/>
              <w:adjustRightInd w:val="0"/>
              <w:rPr>
                <w:rFonts w:cstheme="minorHAnsi"/>
                <w:b/>
                <w:sz w:val="22"/>
                <w:szCs w:val="22"/>
                <w:lang w:val="fr-FR"/>
              </w:rPr>
            </w:pPr>
            <w:r w:rsidRPr="008E49A5">
              <w:rPr>
                <w:rFonts w:cstheme="minorHAnsi"/>
                <w:b/>
                <w:sz w:val="22"/>
                <w:szCs w:val="22"/>
                <w:lang w:val="fr-FR"/>
              </w:rPr>
              <w:t>L</w:t>
            </w:r>
            <w:r w:rsidR="007B23F1" w:rsidRPr="008E49A5">
              <w:rPr>
                <w:rFonts w:cstheme="minorHAnsi"/>
                <w:b/>
                <w:sz w:val="22"/>
                <w:szCs w:val="22"/>
                <w:lang w:val="fr-FR"/>
              </w:rPr>
              <w:t>ieu</w:t>
            </w:r>
          </w:p>
        </w:tc>
        <w:tc>
          <w:tcPr>
            <w:tcW w:w="6029" w:type="dxa"/>
            <w:shd w:val="clear" w:color="auto" w:fill="EFF8FE" w:themeFill="background2"/>
          </w:tcPr>
          <w:p w14:paraId="29750619" w14:textId="52C2593D" w:rsidR="002623EB" w:rsidRPr="008E49A5" w:rsidRDefault="00A47704" w:rsidP="009F6019">
            <w:pPr>
              <w:autoSpaceDE w:val="0"/>
              <w:autoSpaceDN w:val="0"/>
              <w:adjustRightInd w:val="0"/>
              <w:jc w:val="both"/>
              <w:rPr>
                <w:rFonts w:cstheme="minorHAnsi"/>
                <w:bCs/>
                <w:sz w:val="22"/>
                <w:szCs w:val="22"/>
                <w:lang w:val="fr-FR"/>
              </w:rPr>
            </w:pPr>
            <w:r>
              <w:rPr>
                <w:rFonts w:cstheme="minorHAnsi"/>
                <w:bCs/>
                <w:sz w:val="22"/>
                <w:szCs w:val="22"/>
                <w:lang w:val="fr-FR"/>
              </w:rPr>
              <w:t>Bamako</w:t>
            </w:r>
          </w:p>
        </w:tc>
      </w:tr>
      <w:tr w:rsidR="002623EB" w:rsidRPr="008E49A5" w14:paraId="0750F607" w14:textId="77777777" w:rsidTr="002623EB">
        <w:tc>
          <w:tcPr>
            <w:tcW w:w="2820" w:type="dxa"/>
            <w:shd w:val="clear" w:color="auto" w:fill="EFF8FE" w:themeFill="background2"/>
          </w:tcPr>
          <w:p w14:paraId="4F17CB72" w14:textId="60D7C855" w:rsidR="002623EB" w:rsidRPr="008E49A5" w:rsidRDefault="007B23F1" w:rsidP="009F6019">
            <w:pPr>
              <w:autoSpaceDE w:val="0"/>
              <w:autoSpaceDN w:val="0"/>
              <w:adjustRightInd w:val="0"/>
              <w:rPr>
                <w:rFonts w:cstheme="minorHAnsi"/>
                <w:b/>
                <w:sz w:val="22"/>
                <w:szCs w:val="22"/>
                <w:lang w:val="fr-FR"/>
              </w:rPr>
            </w:pPr>
            <w:r w:rsidRPr="008E49A5">
              <w:rPr>
                <w:rFonts w:cstheme="minorHAnsi"/>
                <w:b/>
                <w:sz w:val="22"/>
                <w:szCs w:val="22"/>
                <w:lang w:val="fr-FR"/>
              </w:rPr>
              <w:t>Période</w:t>
            </w:r>
          </w:p>
        </w:tc>
        <w:tc>
          <w:tcPr>
            <w:tcW w:w="6029" w:type="dxa"/>
            <w:shd w:val="clear" w:color="auto" w:fill="EFF8FE" w:themeFill="background2"/>
          </w:tcPr>
          <w:p w14:paraId="5EE4B718" w14:textId="320D48BC" w:rsidR="002623EB" w:rsidRPr="008E49A5" w:rsidRDefault="00A47704" w:rsidP="009F6019">
            <w:pPr>
              <w:autoSpaceDE w:val="0"/>
              <w:autoSpaceDN w:val="0"/>
              <w:adjustRightInd w:val="0"/>
              <w:jc w:val="both"/>
              <w:rPr>
                <w:rFonts w:cstheme="minorHAnsi"/>
                <w:bCs/>
                <w:sz w:val="22"/>
                <w:szCs w:val="22"/>
                <w:lang w:val="fr-FR"/>
              </w:rPr>
            </w:pPr>
            <w:r>
              <w:rPr>
                <w:rFonts w:cstheme="minorHAnsi"/>
                <w:bCs/>
                <w:sz w:val="22"/>
                <w:szCs w:val="22"/>
                <w:lang w:val="fr-FR"/>
              </w:rPr>
              <w:t>Janvier 2026</w:t>
            </w:r>
          </w:p>
        </w:tc>
      </w:tr>
      <w:tr w:rsidR="002623EB" w:rsidRPr="008E49A5" w14:paraId="7759DA23" w14:textId="77777777" w:rsidTr="002623EB">
        <w:tc>
          <w:tcPr>
            <w:tcW w:w="2820" w:type="dxa"/>
            <w:shd w:val="clear" w:color="auto" w:fill="EFF8FE" w:themeFill="background2"/>
          </w:tcPr>
          <w:p w14:paraId="47FB2A02" w14:textId="723C7816" w:rsidR="002623EB" w:rsidRPr="008E49A5" w:rsidRDefault="007B23F1" w:rsidP="009F6019">
            <w:pPr>
              <w:autoSpaceDE w:val="0"/>
              <w:autoSpaceDN w:val="0"/>
              <w:adjustRightInd w:val="0"/>
              <w:rPr>
                <w:rFonts w:cstheme="minorHAnsi"/>
                <w:b/>
                <w:sz w:val="22"/>
                <w:szCs w:val="22"/>
                <w:lang w:val="fr-FR"/>
              </w:rPr>
            </w:pPr>
            <w:r w:rsidRPr="008E49A5">
              <w:rPr>
                <w:rFonts w:cstheme="minorHAnsi"/>
                <w:b/>
                <w:sz w:val="22"/>
                <w:szCs w:val="22"/>
                <w:lang w:val="fr-FR"/>
              </w:rPr>
              <w:t>Responsable(s)</w:t>
            </w:r>
          </w:p>
        </w:tc>
        <w:tc>
          <w:tcPr>
            <w:tcW w:w="6029" w:type="dxa"/>
            <w:shd w:val="clear" w:color="auto" w:fill="EFF8FE" w:themeFill="background2"/>
          </w:tcPr>
          <w:p w14:paraId="29E5FE4F" w14:textId="6D67040F" w:rsidR="002623EB" w:rsidRPr="008E49A5" w:rsidRDefault="00A47704" w:rsidP="009F6019">
            <w:pPr>
              <w:pStyle w:val="Listbullets"/>
              <w:numPr>
                <w:ilvl w:val="0"/>
                <w:numId w:val="0"/>
              </w:numPr>
              <w:rPr>
                <w:rFonts w:cstheme="minorHAnsi"/>
                <w:bCs/>
                <w:sz w:val="22"/>
                <w:szCs w:val="22"/>
                <w:lang w:val="fr-FR"/>
              </w:rPr>
            </w:pPr>
            <w:r>
              <w:rPr>
                <w:rFonts w:cstheme="minorHAnsi"/>
                <w:bCs/>
                <w:sz w:val="22"/>
                <w:szCs w:val="22"/>
                <w:lang w:val="fr-FR"/>
              </w:rPr>
              <w:t>Freddy Sahinguvu</w:t>
            </w:r>
          </w:p>
        </w:tc>
      </w:tr>
      <w:tr w:rsidR="002623EB" w:rsidRPr="008E49A5" w14:paraId="3D50FF51" w14:textId="77777777" w:rsidTr="002623EB">
        <w:tc>
          <w:tcPr>
            <w:tcW w:w="2820" w:type="dxa"/>
            <w:shd w:val="clear" w:color="auto" w:fill="EFF8FE" w:themeFill="background2"/>
          </w:tcPr>
          <w:p w14:paraId="4D126ED2" w14:textId="1EEB8484" w:rsidR="002623EB" w:rsidRPr="008E49A5" w:rsidRDefault="007B23F1" w:rsidP="009F6019">
            <w:pPr>
              <w:autoSpaceDE w:val="0"/>
              <w:autoSpaceDN w:val="0"/>
              <w:adjustRightInd w:val="0"/>
              <w:rPr>
                <w:rFonts w:cstheme="minorHAnsi"/>
                <w:b/>
                <w:sz w:val="22"/>
                <w:szCs w:val="22"/>
                <w:lang w:val="fr-FR"/>
              </w:rPr>
            </w:pPr>
            <w:r w:rsidRPr="008E49A5">
              <w:rPr>
                <w:rFonts w:cstheme="minorHAnsi"/>
                <w:b/>
                <w:sz w:val="22"/>
                <w:szCs w:val="22"/>
                <w:lang w:val="fr-FR"/>
              </w:rPr>
              <w:t>Date de démarrage</w:t>
            </w:r>
          </w:p>
        </w:tc>
        <w:tc>
          <w:tcPr>
            <w:tcW w:w="6029" w:type="dxa"/>
            <w:shd w:val="clear" w:color="auto" w:fill="EFF8FE" w:themeFill="background2"/>
          </w:tcPr>
          <w:p w14:paraId="57323CBD" w14:textId="3BF0B30F" w:rsidR="002623EB" w:rsidRPr="008E49A5" w:rsidRDefault="007B23F1" w:rsidP="009F6019">
            <w:pPr>
              <w:jc w:val="both"/>
              <w:rPr>
                <w:bCs/>
                <w:sz w:val="22"/>
                <w:szCs w:val="22"/>
                <w:lang w:val="fr-FR"/>
              </w:rPr>
            </w:pPr>
            <w:r w:rsidRPr="008E49A5">
              <w:rPr>
                <w:bCs/>
                <w:sz w:val="22"/>
                <w:szCs w:val="22"/>
                <w:lang w:val="fr-FR"/>
              </w:rPr>
              <w:t>À déterminer</w:t>
            </w:r>
          </w:p>
        </w:tc>
      </w:tr>
    </w:tbl>
    <w:p w14:paraId="675FAC67" w14:textId="77777777" w:rsidR="00972933" w:rsidRPr="008E49A5" w:rsidRDefault="00972933" w:rsidP="00972933">
      <w:pPr>
        <w:rPr>
          <w:lang w:val="fr-FR"/>
        </w:rPr>
      </w:pPr>
    </w:p>
    <w:p w14:paraId="5C65CD6C" w14:textId="49C46E53" w:rsidR="00E319D6" w:rsidRPr="008E49A5" w:rsidRDefault="007B23F1" w:rsidP="00D627B5">
      <w:pPr>
        <w:pStyle w:val="Heading1"/>
        <w:rPr>
          <w:lang w:val="fr-FR"/>
        </w:rPr>
      </w:pPr>
      <w:r w:rsidRPr="008E49A5">
        <w:rPr>
          <w:lang w:val="fr-FR"/>
        </w:rPr>
        <w:t>À propos de SNV</w:t>
      </w:r>
    </w:p>
    <w:p w14:paraId="29B08FFC" w14:textId="24F0099E" w:rsidR="006A7525" w:rsidRDefault="006A7525" w:rsidP="006A7525">
      <w:pPr>
        <w:pStyle w:val="BodyText"/>
        <w:spacing w:before="11"/>
        <w:jc w:val="both"/>
        <w:rPr>
          <w:rFonts w:asciiTheme="minorHAnsi" w:hAnsiTheme="minorHAnsi" w:cstheme="minorHAnsi"/>
          <w:sz w:val="22"/>
          <w:szCs w:val="22"/>
          <w:lang w:val="fr-FR"/>
        </w:rPr>
      </w:pPr>
      <w:r w:rsidRPr="00BD24C2">
        <w:rPr>
          <w:rFonts w:asciiTheme="minorHAnsi" w:hAnsiTheme="minorHAnsi" w:cstheme="minorHAnsi"/>
          <w:sz w:val="22"/>
          <w:szCs w:val="22"/>
          <w:lang w:val="fr-FR"/>
        </w:rPr>
        <w:t xml:space="preserve">La SNV est un partenaire international du développement établi aux Pays Bas en 1965, investi d’une mission, et qui est ancrée dans les contextes et les sociétés où elle travaille. Nous contribuons aux </w:t>
      </w:r>
      <w:r w:rsidR="00B01290">
        <w:rPr>
          <w:rFonts w:asciiTheme="minorHAnsi" w:hAnsiTheme="minorHAnsi" w:cstheme="minorHAnsi"/>
          <w:sz w:val="22"/>
          <w:szCs w:val="22"/>
          <w:lang w:val="fr-FR"/>
        </w:rPr>
        <w:t>O</w:t>
      </w:r>
      <w:r w:rsidRPr="00BD24C2">
        <w:rPr>
          <w:rFonts w:asciiTheme="minorHAnsi" w:hAnsiTheme="minorHAnsi" w:cstheme="minorHAnsi"/>
          <w:sz w:val="22"/>
          <w:szCs w:val="22"/>
          <w:lang w:val="fr-FR"/>
        </w:rPr>
        <w:t xml:space="preserve">bjectifs de </w:t>
      </w:r>
      <w:r w:rsidR="00B01290">
        <w:rPr>
          <w:rFonts w:asciiTheme="minorHAnsi" w:hAnsiTheme="minorHAnsi" w:cstheme="minorHAnsi"/>
          <w:sz w:val="22"/>
          <w:szCs w:val="22"/>
          <w:lang w:val="fr-FR"/>
        </w:rPr>
        <w:t>D</w:t>
      </w:r>
      <w:r w:rsidRPr="00BD24C2">
        <w:rPr>
          <w:rFonts w:asciiTheme="minorHAnsi" w:hAnsiTheme="minorHAnsi" w:cstheme="minorHAnsi"/>
          <w:sz w:val="22"/>
          <w:szCs w:val="22"/>
          <w:lang w:val="fr-FR"/>
        </w:rPr>
        <w:t xml:space="preserve">éveloppement </w:t>
      </w:r>
      <w:r w:rsidR="00B01290">
        <w:rPr>
          <w:rFonts w:asciiTheme="minorHAnsi" w:hAnsiTheme="minorHAnsi" w:cstheme="minorHAnsi"/>
          <w:sz w:val="22"/>
          <w:szCs w:val="22"/>
          <w:lang w:val="fr-FR"/>
        </w:rPr>
        <w:t>D</w:t>
      </w:r>
      <w:r w:rsidRPr="00BD24C2">
        <w:rPr>
          <w:rFonts w:asciiTheme="minorHAnsi" w:hAnsiTheme="minorHAnsi" w:cstheme="minorHAnsi"/>
          <w:sz w:val="22"/>
          <w:szCs w:val="22"/>
          <w:lang w:val="fr-FR"/>
        </w:rPr>
        <w:t xml:space="preserve">urable (ODD) grâce à l’efficacité de nos </w:t>
      </w:r>
      <w:r w:rsidR="00B01290">
        <w:rPr>
          <w:rFonts w:asciiTheme="minorHAnsi" w:hAnsiTheme="minorHAnsi" w:cstheme="minorHAnsi"/>
          <w:sz w:val="22"/>
          <w:szCs w:val="22"/>
          <w:lang w:val="fr-FR"/>
        </w:rPr>
        <w:t>projets/</w:t>
      </w:r>
      <w:r w:rsidRPr="00BD24C2">
        <w:rPr>
          <w:rFonts w:asciiTheme="minorHAnsi" w:hAnsiTheme="minorHAnsi" w:cstheme="minorHAnsi"/>
          <w:sz w:val="22"/>
          <w:szCs w:val="22"/>
          <w:lang w:val="fr-FR"/>
        </w:rPr>
        <w:t xml:space="preserve">programmes et à notre stratégie d’influence, avec pour axe central la transformation des systèmes agroalimentaires, énergétiques et d’approvisionnement en eau, afin de permettre des conditions de vie plus durables et plus équitables pour </w:t>
      </w:r>
      <w:proofErr w:type="spellStart"/>
      <w:r w:rsidRPr="00BD24C2">
        <w:rPr>
          <w:rFonts w:asciiTheme="minorHAnsi" w:hAnsiTheme="minorHAnsi" w:cstheme="minorHAnsi"/>
          <w:sz w:val="22"/>
          <w:szCs w:val="22"/>
          <w:lang w:val="fr-FR"/>
        </w:rPr>
        <w:t>tou∙te∙s</w:t>
      </w:r>
      <w:proofErr w:type="spellEnd"/>
      <w:r w:rsidRPr="00BD24C2">
        <w:rPr>
          <w:rFonts w:asciiTheme="minorHAnsi" w:hAnsiTheme="minorHAnsi" w:cstheme="minorHAnsi"/>
          <w:sz w:val="22"/>
          <w:szCs w:val="22"/>
          <w:lang w:val="fr-FR"/>
        </w:rPr>
        <w:t>.</w:t>
      </w:r>
    </w:p>
    <w:p w14:paraId="759072A3" w14:textId="77777777" w:rsidR="006A7525" w:rsidRPr="00BD24C2" w:rsidRDefault="006A7525" w:rsidP="006A7525">
      <w:pPr>
        <w:pStyle w:val="BodyText"/>
        <w:spacing w:before="11"/>
        <w:jc w:val="both"/>
        <w:rPr>
          <w:rFonts w:asciiTheme="minorHAnsi" w:hAnsiTheme="minorHAnsi" w:cstheme="minorHAnsi"/>
          <w:sz w:val="22"/>
          <w:szCs w:val="22"/>
          <w:lang w:val="fr-FR"/>
        </w:rPr>
      </w:pPr>
    </w:p>
    <w:p w14:paraId="14B441D3" w14:textId="77777777" w:rsidR="00B01290" w:rsidRDefault="006A7525" w:rsidP="006A7525">
      <w:pPr>
        <w:pStyle w:val="BodyText"/>
        <w:spacing w:before="11"/>
        <w:jc w:val="both"/>
        <w:rPr>
          <w:rFonts w:asciiTheme="minorHAnsi" w:hAnsiTheme="minorHAnsi" w:cstheme="minorHAnsi"/>
          <w:sz w:val="22"/>
          <w:szCs w:val="22"/>
          <w:lang w:val="fr-FR"/>
        </w:rPr>
      </w:pPr>
      <w:r w:rsidRPr="00BD24C2">
        <w:rPr>
          <w:rFonts w:asciiTheme="minorHAnsi" w:hAnsiTheme="minorHAnsi" w:cstheme="minorHAnsi"/>
          <w:sz w:val="22"/>
          <w:szCs w:val="22"/>
          <w:lang w:val="fr-FR"/>
        </w:rPr>
        <w:t>Nous formons une équipe de plus de 1 600 personnes, dont la grande majorité provient de plus de 25 pays d’Afrique et d’Asie où nous travaillons.</w:t>
      </w:r>
      <w:r>
        <w:rPr>
          <w:rFonts w:asciiTheme="minorHAnsi" w:hAnsiTheme="minorHAnsi" w:cstheme="minorHAnsi"/>
          <w:sz w:val="22"/>
          <w:szCs w:val="22"/>
          <w:lang w:val="fr-FR"/>
        </w:rPr>
        <w:t xml:space="preserve"> </w:t>
      </w:r>
    </w:p>
    <w:p w14:paraId="65511A56" w14:textId="77777777" w:rsidR="00B01290" w:rsidRDefault="00B01290" w:rsidP="006A7525">
      <w:pPr>
        <w:pStyle w:val="BodyText"/>
        <w:spacing w:before="11"/>
        <w:jc w:val="both"/>
        <w:rPr>
          <w:rFonts w:asciiTheme="minorHAnsi" w:hAnsiTheme="minorHAnsi" w:cstheme="minorHAnsi"/>
          <w:sz w:val="22"/>
          <w:szCs w:val="22"/>
          <w:lang w:val="fr-FR"/>
        </w:rPr>
      </w:pPr>
    </w:p>
    <w:p w14:paraId="0499CB17" w14:textId="4F758CB4" w:rsidR="006A7525" w:rsidRPr="00BD24C2" w:rsidRDefault="006A7525" w:rsidP="006A7525">
      <w:pPr>
        <w:pStyle w:val="BodyText"/>
        <w:spacing w:before="11"/>
        <w:jc w:val="both"/>
        <w:rPr>
          <w:rFonts w:asciiTheme="minorHAnsi" w:hAnsiTheme="minorHAnsi" w:cstheme="minorHAnsi"/>
          <w:sz w:val="22"/>
          <w:szCs w:val="22"/>
          <w:lang w:val="fr-FR"/>
        </w:rPr>
      </w:pPr>
      <w:r w:rsidRPr="00BD24C2">
        <w:rPr>
          <w:rFonts w:asciiTheme="minorHAnsi" w:hAnsiTheme="minorHAnsi" w:cstheme="minorHAnsi"/>
          <w:sz w:val="22"/>
          <w:szCs w:val="22"/>
          <w:lang w:val="fr-FR"/>
        </w:rPr>
        <w:t xml:space="preserve">Au Mali où les interventions ont commencé en 1979, SNV dispose de bureaux à Bamako, Mopti et Ségou. En plus, elle intervient directement et à travers ses partenaires </w:t>
      </w:r>
      <w:r w:rsidR="00B01290">
        <w:rPr>
          <w:rFonts w:asciiTheme="minorHAnsi" w:hAnsiTheme="minorHAnsi" w:cstheme="minorHAnsi"/>
          <w:sz w:val="22"/>
          <w:szCs w:val="22"/>
          <w:lang w:val="fr-FR"/>
        </w:rPr>
        <w:t>sur l’ensemble du territoire malien</w:t>
      </w:r>
      <w:r w:rsidRPr="00BD24C2">
        <w:rPr>
          <w:rFonts w:asciiTheme="minorHAnsi" w:hAnsiTheme="minorHAnsi" w:cstheme="minorHAnsi"/>
          <w:sz w:val="22"/>
          <w:szCs w:val="22"/>
          <w:lang w:val="fr-FR"/>
        </w:rPr>
        <w:t>.</w:t>
      </w:r>
    </w:p>
    <w:p w14:paraId="1B10E4E9" w14:textId="77777777" w:rsidR="006A7525" w:rsidRDefault="006A7525" w:rsidP="006A7525">
      <w:pPr>
        <w:pStyle w:val="BodyText"/>
        <w:spacing w:before="11" w:line="270" w:lineRule="atLeast"/>
        <w:jc w:val="both"/>
        <w:rPr>
          <w:rFonts w:asciiTheme="minorHAnsi" w:hAnsiTheme="minorHAnsi" w:cstheme="minorHAnsi"/>
          <w:sz w:val="22"/>
          <w:szCs w:val="22"/>
          <w:lang w:val="fr-FR"/>
        </w:rPr>
      </w:pPr>
    </w:p>
    <w:p w14:paraId="722A70EB" w14:textId="77777777" w:rsidR="006A7525" w:rsidRPr="008E49A5" w:rsidRDefault="006A7525" w:rsidP="006A7525">
      <w:pPr>
        <w:pStyle w:val="BodyText"/>
        <w:spacing w:before="11" w:line="270" w:lineRule="atLeast"/>
        <w:jc w:val="both"/>
        <w:rPr>
          <w:rFonts w:asciiTheme="minorHAnsi" w:hAnsiTheme="minorHAnsi" w:cstheme="minorHAnsi"/>
          <w:sz w:val="21"/>
          <w:szCs w:val="21"/>
          <w:lang w:val="fr-FR"/>
        </w:rPr>
      </w:pPr>
      <w:r w:rsidRPr="00BD24C2">
        <w:rPr>
          <w:rFonts w:asciiTheme="minorHAnsi" w:hAnsiTheme="minorHAnsi" w:cstheme="minorHAnsi"/>
          <w:sz w:val="22"/>
          <w:szCs w:val="22"/>
          <w:lang w:val="fr-FR"/>
        </w:rPr>
        <w:t xml:space="preserve">Pour plus d'informations sur nos opérations au Mali et sur SNV en général, visitez notre site web : </w:t>
      </w:r>
      <w:hyperlink r:id="rId12" w:history="1">
        <w:r w:rsidRPr="005655F6">
          <w:rPr>
            <w:rStyle w:val="Hyperlink"/>
            <w:rFonts w:asciiTheme="minorHAnsi" w:hAnsiTheme="minorHAnsi" w:cstheme="minorHAnsi"/>
            <w:sz w:val="22"/>
            <w:szCs w:val="22"/>
            <w:lang w:val="fr-FR"/>
          </w:rPr>
          <w:t>www.snv.org</w:t>
        </w:r>
      </w:hyperlink>
      <w:r>
        <w:rPr>
          <w:rFonts w:asciiTheme="minorHAnsi" w:hAnsiTheme="minorHAnsi" w:cstheme="minorHAnsi"/>
          <w:sz w:val="22"/>
          <w:szCs w:val="22"/>
          <w:lang w:val="fr-FR"/>
        </w:rPr>
        <w:t xml:space="preserve"> </w:t>
      </w:r>
    </w:p>
    <w:p w14:paraId="4886988D" w14:textId="4AB2DECB" w:rsidR="00E319D6" w:rsidRPr="008E49A5" w:rsidRDefault="00E319D6" w:rsidP="00E319D6">
      <w:pPr>
        <w:pStyle w:val="BodyText"/>
        <w:spacing w:before="11" w:line="270" w:lineRule="atLeast"/>
        <w:rPr>
          <w:rFonts w:asciiTheme="minorHAnsi" w:hAnsiTheme="minorHAnsi" w:cstheme="minorHAnsi"/>
          <w:sz w:val="21"/>
          <w:szCs w:val="21"/>
          <w:lang w:val="fr-FR"/>
        </w:rPr>
      </w:pPr>
    </w:p>
    <w:p w14:paraId="6E973DC6" w14:textId="34EF2E9F" w:rsidR="00D627B5" w:rsidRPr="008E49A5" w:rsidRDefault="007B23F1" w:rsidP="00E27C72">
      <w:pPr>
        <w:pStyle w:val="Heading1"/>
        <w:rPr>
          <w:lang w:val="fr-FR"/>
        </w:rPr>
      </w:pPr>
      <w:r w:rsidRPr="008E49A5">
        <w:rPr>
          <w:lang w:val="fr-FR"/>
        </w:rPr>
        <w:t>Contexte et objectifs de la mission</w:t>
      </w:r>
    </w:p>
    <w:p w14:paraId="37657D06" w14:textId="77777777" w:rsidR="00A47704" w:rsidRPr="00A47704" w:rsidRDefault="00A47704" w:rsidP="00A47704">
      <w:pPr>
        <w:spacing w:line="276" w:lineRule="auto"/>
        <w:jc w:val="both"/>
        <w:rPr>
          <w:sz w:val="22"/>
          <w:szCs w:val="22"/>
          <w:lang w:val="fr-FR"/>
        </w:rPr>
      </w:pPr>
      <w:r w:rsidRPr="00A47704">
        <w:rPr>
          <w:sz w:val="22"/>
          <w:szCs w:val="22"/>
          <w:lang w:val="fr-FR"/>
        </w:rPr>
        <w:t>Le Conseil National de la Jeunesse du Mali (CNJ-Mali) est l’organisation faîtière regroupant l’ensemble des associations, mouvements, fédérations et organisations de jeunesse du pays. Il constitue un cadre représentatif, inclusif et fédérateur de la jeunesse malienne, reconnu comme interlocuteur légitime par les pouvoirs publics, les partenaires techniques et financiers, ainsi que les institutions régionales et internationales de jeunesse.</w:t>
      </w:r>
    </w:p>
    <w:p w14:paraId="4B7A16BC" w14:textId="77777777" w:rsidR="00A47704" w:rsidRPr="00A47704" w:rsidRDefault="00A47704" w:rsidP="00A47704">
      <w:pPr>
        <w:spacing w:line="276" w:lineRule="auto"/>
        <w:jc w:val="both"/>
        <w:rPr>
          <w:sz w:val="22"/>
          <w:szCs w:val="22"/>
          <w:lang w:val="fr-FR"/>
        </w:rPr>
      </w:pPr>
      <w:r w:rsidRPr="00A47704">
        <w:rPr>
          <w:sz w:val="22"/>
          <w:szCs w:val="22"/>
          <w:lang w:val="fr-FR"/>
        </w:rPr>
        <w:t>Le CNJ-Mali a pour mandat de :</w:t>
      </w:r>
    </w:p>
    <w:p w14:paraId="25C7160C" w14:textId="0BA8B67F" w:rsidR="00A47704" w:rsidRPr="00A47704" w:rsidRDefault="00A47704" w:rsidP="00E00097">
      <w:pPr>
        <w:pStyle w:val="ListParagraph"/>
        <w:numPr>
          <w:ilvl w:val="0"/>
          <w:numId w:val="10"/>
        </w:numPr>
        <w:spacing w:line="276" w:lineRule="auto"/>
        <w:jc w:val="both"/>
        <w:rPr>
          <w:rFonts w:asciiTheme="minorHAnsi" w:hAnsiTheme="minorHAnsi" w:cstheme="minorHAnsi"/>
          <w:sz w:val="22"/>
          <w:szCs w:val="22"/>
          <w:lang w:val="fr-FR"/>
        </w:rPr>
      </w:pPr>
      <w:r w:rsidRPr="00A47704">
        <w:rPr>
          <w:rFonts w:asciiTheme="minorHAnsi" w:hAnsiTheme="minorHAnsi" w:cstheme="minorHAnsi"/>
          <w:sz w:val="22"/>
          <w:szCs w:val="22"/>
          <w:lang w:val="fr-FR"/>
        </w:rPr>
        <w:t>Créer un espace de concertation, d’orientation et de coordination des initiatives des structures de jeunesse ;</w:t>
      </w:r>
    </w:p>
    <w:p w14:paraId="61A5857A" w14:textId="29C6BEC8" w:rsidR="00A47704" w:rsidRPr="00A47704" w:rsidRDefault="00A47704" w:rsidP="00E00097">
      <w:pPr>
        <w:pStyle w:val="ListParagraph"/>
        <w:numPr>
          <w:ilvl w:val="0"/>
          <w:numId w:val="10"/>
        </w:numPr>
        <w:spacing w:line="276" w:lineRule="auto"/>
        <w:jc w:val="both"/>
        <w:rPr>
          <w:rFonts w:asciiTheme="minorHAnsi" w:hAnsiTheme="minorHAnsi" w:cstheme="minorHAnsi"/>
          <w:sz w:val="22"/>
          <w:szCs w:val="22"/>
          <w:lang w:val="fr-FR"/>
        </w:rPr>
      </w:pPr>
      <w:r w:rsidRPr="00A47704">
        <w:rPr>
          <w:rFonts w:asciiTheme="minorHAnsi" w:hAnsiTheme="minorHAnsi" w:cstheme="minorHAnsi"/>
          <w:sz w:val="22"/>
          <w:szCs w:val="22"/>
          <w:lang w:val="fr-FR"/>
        </w:rPr>
        <w:t>Servir de plateforme d’interface entre les jeunes, les institutions publiques, la société civile et les partenaires ;</w:t>
      </w:r>
    </w:p>
    <w:p w14:paraId="25FE7F3A" w14:textId="1962C8E7" w:rsidR="00A47704" w:rsidRPr="00A47704" w:rsidRDefault="00A47704" w:rsidP="00E00097">
      <w:pPr>
        <w:pStyle w:val="ListParagraph"/>
        <w:numPr>
          <w:ilvl w:val="0"/>
          <w:numId w:val="10"/>
        </w:numPr>
        <w:spacing w:line="276" w:lineRule="auto"/>
        <w:jc w:val="both"/>
        <w:rPr>
          <w:rFonts w:asciiTheme="minorHAnsi" w:hAnsiTheme="minorHAnsi" w:cstheme="minorHAnsi"/>
          <w:sz w:val="22"/>
          <w:szCs w:val="22"/>
          <w:lang w:val="fr-FR"/>
        </w:rPr>
      </w:pPr>
      <w:r w:rsidRPr="00A47704">
        <w:rPr>
          <w:rFonts w:asciiTheme="minorHAnsi" w:hAnsiTheme="minorHAnsi" w:cstheme="minorHAnsi"/>
          <w:sz w:val="22"/>
          <w:szCs w:val="22"/>
          <w:lang w:val="fr-FR"/>
        </w:rPr>
        <w:lastRenderedPageBreak/>
        <w:t>Aligner les actions de la jeunesse sur les priorités stratégiques de l’État, notamment la mise en œuvre de la Politique Nationale de la Jeunesse (PNJ).</w:t>
      </w:r>
    </w:p>
    <w:p w14:paraId="2F6388BF" w14:textId="77777777" w:rsidR="00A47704" w:rsidRPr="00A47704" w:rsidRDefault="00A47704" w:rsidP="00A47704">
      <w:pPr>
        <w:spacing w:line="276" w:lineRule="auto"/>
        <w:jc w:val="both"/>
        <w:rPr>
          <w:sz w:val="22"/>
          <w:szCs w:val="22"/>
          <w:lang w:val="fr-FR"/>
        </w:rPr>
      </w:pPr>
      <w:r w:rsidRPr="00A47704">
        <w:rPr>
          <w:sz w:val="22"/>
          <w:szCs w:val="22"/>
          <w:lang w:val="fr-FR"/>
        </w:rPr>
        <w:t>Ses missions s’articulent autour des axes suivants :</w:t>
      </w:r>
    </w:p>
    <w:p w14:paraId="1881D577" w14:textId="19D937B4" w:rsidR="00A47704" w:rsidRPr="00A47704" w:rsidRDefault="00A47704" w:rsidP="00E00097">
      <w:pPr>
        <w:pStyle w:val="ListParagraph"/>
        <w:numPr>
          <w:ilvl w:val="0"/>
          <w:numId w:val="10"/>
        </w:numPr>
        <w:spacing w:line="276" w:lineRule="auto"/>
        <w:jc w:val="both"/>
        <w:rPr>
          <w:rFonts w:asciiTheme="minorHAnsi" w:hAnsiTheme="minorHAnsi" w:cstheme="minorHAnsi"/>
          <w:sz w:val="22"/>
          <w:szCs w:val="22"/>
          <w:lang w:val="fr-FR"/>
        </w:rPr>
      </w:pPr>
      <w:r w:rsidRPr="00A47704">
        <w:rPr>
          <w:rFonts w:asciiTheme="minorHAnsi" w:hAnsiTheme="minorHAnsi" w:cstheme="minorHAnsi"/>
          <w:sz w:val="22"/>
          <w:szCs w:val="22"/>
          <w:lang w:val="fr-FR"/>
        </w:rPr>
        <w:t>Renforcement des capacités institutionnelles et opérationnelles des organisations membres ;</w:t>
      </w:r>
    </w:p>
    <w:p w14:paraId="47E6F40C" w14:textId="527D893E" w:rsidR="00A47704" w:rsidRPr="00A47704" w:rsidRDefault="00A47704" w:rsidP="00E00097">
      <w:pPr>
        <w:pStyle w:val="ListParagraph"/>
        <w:numPr>
          <w:ilvl w:val="0"/>
          <w:numId w:val="10"/>
        </w:numPr>
        <w:spacing w:line="276" w:lineRule="auto"/>
        <w:jc w:val="both"/>
        <w:rPr>
          <w:rFonts w:asciiTheme="minorHAnsi" w:hAnsiTheme="minorHAnsi" w:cstheme="minorHAnsi"/>
          <w:sz w:val="22"/>
          <w:szCs w:val="22"/>
          <w:lang w:val="fr-FR"/>
        </w:rPr>
      </w:pPr>
      <w:r w:rsidRPr="00A47704">
        <w:rPr>
          <w:rFonts w:asciiTheme="minorHAnsi" w:hAnsiTheme="minorHAnsi" w:cstheme="minorHAnsi"/>
          <w:sz w:val="22"/>
          <w:szCs w:val="22"/>
          <w:lang w:val="fr-FR"/>
        </w:rPr>
        <w:t>Promotion de la citoyenneté, du patriotisme, de l’engagement civique et de la cohésion sociale ;</w:t>
      </w:r>
    </w:p>
    <w:p w14:paraId="022D4495" w14:textId="64C62B5F" w:rsidR="00A47704" w:rsidRPr="00A47704" w:rsidRDefault="00A47704" w:rsidP="00E00097">
      <w:pPr>
        <w:pStyle w:val="ListParagraph"/>
        <w:numPr>
          <w:ilvl w:val="0"/>
          <w:numId w:val="10"/>
        </w:numPr>
        <w:spacing w:line="276" w:lineRule="auto"/>
        <w:jc w:val="both"/>
        <w:rPr>
          <w:rFonts w:asciiTheme="minorHAnsi" w:hAnsiTheme="minorHAnsi" w:cstheme="minorHAnsi"/>
          <w:sz w:val="22"/>
          <w:szCs w:val="22"/>
          <w:lang w:val="fr-FR"/>
        </w:rPr>
      </w:pPr>
      <w:r w:rsidRPr="00A47704">
        <w:rPr>
          <w:rFonts w:asciiTheme="minorHAnsi" w:hAnsiTheme="minorHAnsi" w:cstheme="minorHAnsi"/>
          <w:sz w:val="22"/>
          <w:szCs w:val="22"/>
          <w:lang w:val="fr-FR"/>
        </w:rPr>
        <w:t>Appui à l’insertion socio-professionnelle des jeunes et à leur participation active au développement local et national ;</w:t>
      </w:r>
    </w:p>
    <w:p w14:paraId="1DACC1E7" w14:textId="7BF38AB5" w:rsidR="00A47704" w:rsidRPr="00A47704" w:rsidRDefault="00A47704" w:rsidP="00E00097">
      <w:pPr>
        <w:pStyle w:val="ListParagraph"/>
        <w:numPr>
          <w:ilvl w:val="0"/>
          <w:numId w:val="10"/>
        </w:numPr>
        <w:spacing w:line="276" w:lineRule="auto"/>
        <w:jc w:val="both"/>
        <w:rPr>
          <w:rFonts w:asciiTheme="minorHAnsi" w:hAnsiTheme="minorHAnsi" w:cstheme="minorHAnsi"/>
          <w:sz w:val="22"/>
          <w:szCs w:val="22"/>
          <w:lang w:val="fr-FR"/>
        </w:rPr>
      </w:pPr>
      <w:r w:rsidRPr="00A47704">
        <w:rPr>
          <w:rFonts w:asciiTheme="minorHAnsi" w:hAnsiTheme="minorHAnsi" w:cstheme="minorHAnsi"/>
          <w:sz w:val="22"/>
          <w:szCs w:val="22"/>
          <w:lang w:val="fr-FR"/>
        </w:rPr>
        <w:t>Contribution à la prévention de l’extrémisme violent, à la promotion de la paix, de la sécurité humaine et de la bonne gouvernance ;</w:t>
      </w:r>
    </w:p>
    <w:p w14:paraId="07977020" w14:textId="032A5DBD" w:rsidR="00A47704" w:rsidRPr="00A47704" w:rsidRDefault="00A47704" w:rsidP="00E00097">
      <w:pPr>
        <w:pStyle w:val="ListParagraph"/>
        <w:numPr>
          <w:ilvl w:val="0"/>
          <w:numId w:val="10"/>
        </w:numPr>
        <w:spacing w:after="240" w:line="276" w:lineRule="auto"/>
        <w:jc w:val="both"/>
        <w:rPr>
          <w:rFonts w:asciiTheme="minorHAnsi" w:hAnsiTheme="minorHAnsi" w:cstheme="minorHAnsi"/>
          <w:sz w:val="22"/>
          <w:szCs w:val="22"/>
          <w:lang w:val="fr-FR"/>
        </w:rPr>
      </w:pPr>
      <w:r w:rsidRPr="00A47704">
        <w:rPr>
          <w:rFonts w:asciiTheme="minorHAnsi" w:hAnsiTheme="minorHAnsi" w:cstheme="minorHAnsi"/>
          <w:sz w:val="22"/>
          <w:szCs w:val="22"/>
          <w:lang w:val="fr-FR"/>
        </w:rPr>
        <w:t>Engagement pour la santé, l’environnement, la solidarité, l’inclusion et l’intégration africaine.</w:t>
      </w:r>
    </w:p>
    <w:p w14:paraId="57B51E64" w14:textId="77777777" w:rsidR="00A47704" w:rsidRPr="00A47704" w:rsidRDefault="00A47704" w:rsidP="00A47704">
      <w:pPr>
        <w:spacing w:line="276" w:lineRule="auto"/>
        <w:jc w:val="both"/>
        <w:rPr>
          <w:sz w:val="22"/>
          <w:szCs w:val="22"/>
          <w:lang w:val="fr-FR"/>
        </w:rPr>
      </w:pPr>
      <w:r w:rsidRPr="00A47704">
        <w:rPr>
          <w:sz w:val="22"/>
          <w:szCs w:val="22"/>
          <w:lang w:val="fr-FR"/>
        </w:rPr>
        <w:t>Dans le contexte actuel marqué par des défis multidimensionnels (gouvernance, sécurité, emploi, cohésion sociale), le rôle du CNJ-Mali est plus que jamais essentiel pour structurer et amplifier la participation des jeunes aux dynamiques de transformation sociale et institutionnelle du pays.</w:t>
      </w:r>
    </w:p>
    <w:p w14:paraId="5A5BC6F5" w14:textId="77777777" w:rsidR="00A47704" w:rsidRPr="00A47704" w:rsidRDefault="00A47704" w:rsidP="00A47704">
      <w:pPr>
        <w:spacing w:line="276" w:lineRule="auto"/>
        <w:jc w:val="both"/>
        <w:rPr>
          <w:sz w:val="22"/>
          <w:szCs w:val="22"/>
          <w:lang w:val="fr-FR"/>
        </w:rPr>
      </w:pPr>
      <w:r w:rsidRPr="00A47704">
        <w:rPr>
          <w:sz w:val="22"/>
          <w:szCs w:val="22"/>
          <w:lang w:val="fr-FR"/>
        </w:rPr>
        <w:t>C’est dans cette optique que le Bureau Exécutif National du CNJ-Mali a sollicité l’appui du Programme Gouvernance Locale Redevable Plus (PGLR+ 2021-2026), un programme phare de renforcement de la gouvernance participative, financé par l’Ambassade des Pays-Bas et mis en œuvre dans 240 communes du Mali.</w:t>
      </w:r>
    </w:p>
    <w:p w14:paraId="0DEC7CAC" w14:textId="77777777" w:rsidR="00A47704" w:rsidRPr="00A47704" w:rsidRDefault="00A47704" w:rsidP="00A47704">
      <w:pPr>
        <w:spacing w:line="276" w:lineRule="auto"/>
        <w:jc w:val="both"/>
        <w:rPr>
          <w:sz w:val="22"/>
          <w:szCs w:val="22"/>
          <w:lang w:val="fr-FR"/>
        </w:rPr>
      </w:pPr>
      <w:r w:rsidRPr="00A47704">
        <w:rPr>
          <w:sz w:val="22"/>
          <w:szCs w:val="22"/>
          <w:lang w:val="fr-FR"/>
        </w:rPr>
        <w:t>Le PGLR+ a permis l’émergence d’un mouvement structuré de plus de 10 000 jeunes engagés, mobilisés autour des principes de leadership, de redevabilité sociale, de plaidoyer, de participation citoyenne et d’inclusion. À travers une stratégie d’influence ascendante, ce mouvement contribue à améliorer la collaboration entre les jeunes, les autorités locales et les services publics.</w:t>
      </w:r>
    </w:p>
    <w:p w14:paraId="447799E4" w14:textId="77777777" w:rsidR="00A47704" w:rsidRPr="00A47704" w:rsidRDefault="00A47704" w:rsidP="00A47704">
      <w:pPr>
        <w:spacing w:line="276" w:lineRule="auto"/>
        <w:jc w:val="both"/>
        <w:rPr>
          <w:sz w:val="22"/>
          <w:szCs w:val="22"/>
          <w:lang w:val="fr-FR"/>
        </w:rPr>
      </w:pPr>
      <w:r w:rsidRPr="00A47704">
        <w:rPr>
          <w:sz w:val="22"/>
          <w:szCs w:val="22"/>
          <w:lang w:val="fr-FR"/>
        </w:rPr>
        <w:t>Dans le cadre de sa stratégie de durabilité, et conformément aux résolutions du Conseil Consultatif National (CCN) tenu le 21 mai 2025 à Bamako, le programme PGLR+ s’engage à transférer et institutionnaliser ses acquis auprès des structures nationales de jeunesse, dont le CNJ-Mali constitue un partenaire clé.</w:t>
      </w:r>
    </w:p>
    <w:p w14:paraId="32FA641B" w14:textId="3B579DA4" w:rsidR="00A47704" w:rsidRDefault="00A47704" w:rsidP="00A47704">
      <w:pPr>
        <w:spacing w:line="276" w:lineRule="auto"/>
        <w:jc w:val="both"/>
        <w:rPr>
          <w:sz w:val="22"/>
          <w:szCs w:val="22"/>
          <w:lang w:val="fr-FR"/>
        </w:rPr>
      </w:pPr>
      <w:r w:rsidRPr="00A47704">
        <w:rPr>
          <w:sz w:val="22"/>
          <w:szCs w:val="22"/>
          <w:lang w:val="fr-FR"/>
        </w:rPr>
        <w:t>Ainsi, la présente initiative vise à former un noyau de formateurs issus du CNJ-Mali sur les modules de base du PGLR+, afin de renforcer leurs compétences techniques et pédagogiques. Ces formateurs seront ensuite en mesure de démultiplier les formations dans les régions et communes du pays, contribuant ainsi à la pérennisation des approches de gouvernance inclusive portées par le programme.</w:t>
      </w:r>
    </w:p>
    <w:p w14:paraId="55C095BC" w14:textId="204F8716" w:rsidR="00E319D6" w:rsidRPr="008E49A5" w:rsidRDefault="007B23F1" w:rsidP="00D627B5">
      <w:pPr>
        <w:pStyle w:val="Heading1"/>
        <w:rPr>
          <w:lang w:val="fr-FR"/>
        </w:rPr>
      </w:pPr>
      <w:r w:rsidRPr="008E49A5">
        <w:rPr>
          <w:lang w:val="fr-FR"/>
        </w:rPr>
        <w:t>Aperçu de la mission et champ d’intervention / Livrables</w:t>
      </w:r>
    </w:p>
    <w:p w14:paraId="1A328BC3" w14:textId="7E1FA075" w:rsidR="00D627B5" w:rsidRPr="008E49A5" w:rsidRDefault="006F1581" w:rsidP="003A1E28">
      <w:pPr>
        <w:pStyle w:val="Listbullets"/>
        <w:numPr>
          <w:ilvl w:val="0"/>
          <w:numId w:val="0"/>
        </w:numPr>
        <w:spacing w:line="276" w:lineRule="auto"/>
        <w:jc w:val="both"/>
        <w:rPr>
          <w:sz w:val="22"/>
          <w:szCs w:val="22"/>
          <w:lang w:val="fr-FR"/>
        </w:rPr>
      </w:pPr>
      <w:r w:rsidRPr="007D1D17">
        <w:rPr>
          <w:b/>
          <w:bCs/>
          <w:sz w:val="22"/>
          <w:szCs w:val="22"/>
          <w:lang w:val="fr-FR"/>
        </w:rPr>
        <w:t>La mission a pour objectif de</w:t>
      </w:r>
      <w:r>
        <w:rPr>
          <w:sz w:val="22"/>
          <w:szCs w:val="22"/>
          <w:lang w:val="fr-FR"/>
        </w:rPr>
        <w:t xml:space="preserve"> : </w:t>
      </w:r>
    </w:p>
    <w:p w14:paraId="0931A3DA" w14:textId="1377E66A" w:rsidR="006F1581" w:rsidRPr="006F1581" w:rsidRDefault="006F1581" w:rsidP="00CF7101">
      <w:pPr>
        <w:pStyle w:val="Listbullets"/>
        <w:spacing w:after="120"/>
        <w:jc w:val="both"/>
        <w:rPr>
          <w:sz w:val="22"/>
          <w:szCs w:val="22"/>
          <w:lang w:val="fr-FR"/>
        </w:rPr>
      </w:pPr>
      <w:r w:rsidRPr="006F1581">
        <w:rPr>
          <w:sz w:val="22"/>
          <w:szCs w:val="22"/>
          <w:lang w:val="fr-FR"/>
        </w:rPr>
        <w:lastRenderedPageBreak/>
        <w:t>Doter les membres du CNJ-Mali des compétences clés en ingénierie de formation, notamment en conception, animation, évaluation et adaptation des sessions de formation destinées aux jeunes ;</w:t>
      </w:r>
    </w:p>
    <w:p w14:paraId="1CE8F219" w14:textId="77777777" w:rsidR="006F1581" w:rsidRPr="00611E51" w:rsidRDefault="006F1581" w:rsidP="00CF7101">
      <w:pPr>
        <w:pStyle w:val="Listbullets"/>
        <w:spacing w:after="120"/>
        <w:jc w:val="both"/>
        <w:rPr>
          <w:lang w:val="fr-FR"/>
        </w:rPr>
      </w:pPr>
      <w:r w:rsidRPr="00611E51">
        <w:rPr>
          <w:lang w:val="fr-FR"/>
        </w:rPr>
        <w:t>Renforcer l’appropriation des modules de base du PGLR+, en lien avec le leadership, la redevabilité sociale, la participation citoyenne, le plaidoyer, la gouvernance locale, le genre et l’inclusion ;</w:t>
      </w:r>
    </w:p>
    <w:p w14:paraId="55429772" w14:textId="77777777" w:rsidR="006F1581" w:rsidRPr="00611E51" w:rsidRDefault="006F1581" w:rsidP="00CF7101">
      <w:pPr>
        <w:pStyle w:val="Listbullets"/>
        <w:spacing w:after="120"/>
        <w:jc w:val="both"/>
        <w:rPr>
          <w:lang w:val="fr-FR"/>
        </w:rPr>
      </w:pPr>
      <w:r w:rsidRPr="00611E51">
        <w:rPr>
          <w:lang w:val="fr-FR"/>
        </w:rPr>
        <w:t>Créer un vivier national de formateurs compétents et opérationnels, capables de démultiplier les formations dans les régions et communes, en s’appuyant sur les outils et méthodes éprouvés du PGLR+ ;</w:t>
      </w:r>
    </w:p>
    <w:p w14:paraId="21BD242A" w14:textId="77777777" w:rsidR="006F1581" w:rsidRPr="00611E51" w:rsidRDefault="006F1581" w:rsidP="00CF7101">
      <w:pPr>
        <w:pStyle w:val="Listbullets"/>
        <w:spacing w:after="120"/>
        <w:jc w:val="both"/>
        <w:rPr>
          <w:lang w:val="fr-FR"/>
        </w:rPr>
      </w:pPr>
      <w:r w:rsidRPr="00611E51">
        <w:rPr>
          <w:lang w:val="fr-FR"/>
        </w:rPr>
        <w:t>Favoriser l’intégration des approches de gouvernance participative et inclusive dans les actions du CNJ-Mali, à travers une meilleure compréhension des enjeux de gouvernance locale et de l’engagement citoyen des jeunes ;</w:t>
      </w:r>
    </w:p>
    <w:p w14:paraId="702131C0" w14:textId="77777777" w:rsidR="006F1581" w:rsidRPr="00611E51" w:rsidRDefault="006F1581" w:rsidP="00CF7101">
      <w:pPr>
        <w:pStyle w:val="Listbullets"/>
        <w:spacing w:after="120"/>
        <w:jc w:val="both"/>
        <w:rPr>
          <w:lang w:val="fr-FR"/>
        </w:rPr>
      </w:pPr>
      <w:r w:rsidRPr="00611E51">
        <w:rPr>
          <w:lang w:val="fr-FR"/>
        </w:rPr>
        <w:t>Renforcer les dynamiques de collaboration entre le CNJ-Mali et les autorités locales, en outillant les jeunes formateurs pour dialoguer efficacement avec les institutions publiques et les partenaires techniques.</w:t>
      </w:r>
    </w:p>
    <w:p w14:paraId="0EB5AB40" w14:textId="77777777" w:rsidR="006F1581" w:rsidRDefault="006F1581" w:rsidP="00CF7101">
      <w:pPr>
        <w:spacing w:line="276" w:lineRule="auto"/>
        <w:jc w:val="both"/>
        <w:rPr>
          <w:sz w:val="22"/>
          <w:szCs w:val="22"/>
          <w:lang w:val="fr-FR"/>
        </w:rPr>
      </w:pPr>
    </w:p>
    <w:p w14:paraId="54780484" w14:textId="77777777" w:rsidR="006F1581" w:rsidRPr="006F1581" w:rsidRDefault="006F1581" w:rsidP="00CF7101">
      <w:pPr>
        <w:spacing w:line="276" w:lineRule="auto"/>
        <w:jc w:val="both"/>
        <w:rPr>
          <w:sz w:val="22"/>
          <w:szCs w:val="22"/>
          <w:lang w:val="fr-FR"/>
        </w:rPr>
      </w:pPr>
      <w:r w:rsidRPr="007D1D17">
        <w:rPr>
          <w:b/>
          <w:bCs/>
          <w:sz w:val="22"/>
          <w:szCs w:val="22"/>
          <w:lang w:val="fr-FR"/>
        </w:rPr>
        <w:t>À l’issue de la formation, les résultats suivants sont attendus</w:t>
      </w:r>
      <w:r w:rsidRPr="006F1581">
        <w:rPr>
          <w:sz w:val="22"/>
          <w:szCs w:val="22"/>
          <w:lang w:val="fr-FR"/>
        </w:rPr>
        <w:t xml:space="preserve"> :</w:t>
      </w:r>
    </w:p>
    <w:p w14:paraId="1B520DC7" w14:textId="5B229385" w:rsidR="006F1581" w:rsidRPr="00CF7101" w:rsidRDefault="006F1581" w:rsidP="00CF7101">
      <w:pPr>
        <w:pStyle w:val="Listbullets"/>
        <w:spacing w:after="120"/>
        <w:jc w:val="both"/>
        <w:rPr>
          <w:lang w:val="fr-FR"/>
        </w:rPr>
      </w:pPr>
      <w:r w:rsidRPr="00CF7101">
        <w:rPr>
          <w:lang w:val="fr-FR"/>
        </w:rPr>
        <w:t>Un noyau national de formateurs/</w:t>
      </w:r>
      <w:proofErr w:type="spellStart"/>
      <w:r w:rsidRPr="00CF7101">
        <w:rPr>
          <w:lang w:val="fr-FR"/>
        </w:rPr>
        <w:t>trices</w:t>
      </w:r>
      <w:proofErr w:type="spellEnd"/>
      <w:r w:rsidRPr="00CF7101">
        <w:rPr>
          <w:lang w:val="fr-FR"/>
        </w:rPr>
        <w:t xml:space="preserve"> qualifiés du CNJ-Mali est constitué, disposant de compétences solides en animation, en pédagogie et en transmission des contenus du PGLR+ ;</w:t>
      </w:r>
    </w:p>
    <w:p w14:paraId="35E74C42" w14:textId="6B248C16" w:rsidR="006F1581" w:rsidRPr="00CF7101" w:rsidRDefault="006F1581" w:rsidP="00CF7101">
      <w:pPr>
        <w:pStyle w:val="Listbullets"/>
        <w:spacing w:after="120"/>
        <w:jc w:val="both"/>
        <w:rPr>
          <w:lang w:val="fr-FR"/>
        </w:rPr>
      </w:pPr>
      <w:r w:rsidRPr="00CF7101">
        <w:rPr>
          <w:lang w:val="fr-FR"/>
        </w:rPr>
        <w:t xml:space="preserve">Les </w:t>
      </w:r>
      <w:proofErr w:type="spellStart"/>
      <w:r w:rsidRPr="00CF7101">
        <w:rPr>
          <w:lang w:val="fr-FR"/>
        </w:rPr>
        <w:t>participant·e·s</w:t>
      </w:r>
      <w:proofErr w:type="spellEnd"/>
      <w:r w:rsidRPr="00CF7101">
        <w:rPr>
          <w:lang w:val="fr-FR"/>
        </w:rPr>
        <w:t xml:space="preserve"> ont acquis une maîtrise des huit modules clés de gouvernance du programme PGLR+, ainsi que des outils et approches méthodologiques y afférents ;</w:t>
      </w:r>
    </w:p>
    <w:p w14:paraId="056545F7" w14:textId="1757D50B" w:rsidR="006F1581" w:rsidRPr="00CF7101" w:rsidRDefault="006F1581" w:rsidP="00CF7101">
      <w:pPr>
        <w:pStyle w:val="Listbullets"/>
        <w:spacing w:after="120"/>
        <w:jc w:val="both"/>
        <w:rPr>
          <w:lang w:val="fr-FR"/>
        </w:rPr>
      </w:pPr>
      <w:r w:rsidRPr="00CF7101">
        <w:rPr>
          <w:lang w:val="fr-FR"/>
        </w:rPr>
        <w:t>Les jeunes formateurs/</w:t>
      </w:r>
      <w:proofErr w:type="spellStart"/>
      <w:r w:rsidRPr="00CF7101">
        <w:rPr>
          <w:lang w:val="fr-FR"/>
        </w:rPr>
        <w:t>trices</w:t>
      </w:r>
      <w:proofErr w:type="spellEnd"/>
      <w:r w:rsidRPr="00CF7101">
        <w:rPr>
          <w:lang w:val="fr-FR"/>
        </w:rPr>
        <w:t xml:space="preserve"> sont en mesure de concevoir, adapter et animer des sessions de formation à destination de leurs pairs dans les régions et communes ;</w:t>
      </w:r>
    </w:p>
    <w:p w14:paraId="1939BADF" w14:textId="4A657130" w:rsidR="006F1581" w:rsidRPr="00CF7101" w:rsidRDefault="006F1581" w:rsidP="00CF7101">
      <w:pPr>
        <w:pStyle w:val="Listbullets"/>
        <w:spacing w:after="120"/>
        <w:jc w:val="both"/>
        <w:rPr>
          <w:lang w:val="fr-FR"/>
        </w:rPr>
      </w:pPr>
      <w:r w:rsidRPr="00CF7101">
        <w:rPr>
          <w:lang w:val="fr-FR"/>
        </w:rPr>
        <w:t>Un plan d’action de restitution et de démultiplication des formations est élaboré, validé collectivement et aligné avec les priorités du CNJ-Mali et les principes du PGLR+ ;</w:t>
      </w:r>
    </w:p>
    <w:p w14:paraId="09DE84E2" w14:textId="733C520F" w:rsidR="006F1581" w:rsidRDefault="006F1581" w:rsidP="00CF7101">
      <w:pPr>
        <w:pStyle w:val="Listbullets"/>
        <w:spacing w:after="120"/>
        <w:jc w:val="both"/>
        <w:rPr>
          <w:lang w:val="fr-FR"/>
        </w:rPr>
      </w:pPr>
      <w:r w:rsidRPr="00CF7101">
        <w:rPr>
          <w:lang w:val="fr-FR"/>
        </w:rPr>
        <w:t xml:space="preserve">La collaboration entre le CNJ-Mali et les acteurs du consortium PGLR+ est renforcée, posant les bases d’une institutionnalisation durable des acquis du programme au sein des dispositifs de jeunesse. </w:t>
      </w:r>
    </w:p>
    <w:p w14:paraId="6DA269F0" w14:textId="77777777" w:rsidR="003A43B7" w:rsidRPr="00CF7101" w:rsidRDefault="003A43B7" w:rsidP="003A43B7">
      <w:pPr>
        <w:pStyle w:val="Listbullets"/>
        <w:numPr>
          <w:ilvl w:val="0"/>
          <w:numId w:val="0"/>
        </w:numPr>
        <w:spacing w:after="120"/>
        <w:ind w:left="397" w:hanging="397"/>
        <w:jc w:val="both"/>
        <w:rPr>
          <w:lang w:val="fr-FR"/>
        </w:rPr>
      </w:pPr>
    </w:p>
    <w:p w14:paraId="68AEC592" w14:textId="462D7613" w:rsidR="006F1581" w:rsidRPr="008B692E" w:rsidRDefault="008B692E" w:rsidP="006F1581">
      <w:pPr>
        <w:spacing w:line="276" w:lineRule="auto"/>
        <w:jc w:val="both"/>
        <w:rPr>
          <w:b/>
          <w:bCs/>
          <w:sz w:val="22"/>
          <w:szCs w:val="22"/>
          <w:lang w:val="fr-FR"/>
        </w:rPr>
      </w:pPr>
      <w:r w:rsidRPr="008B692E">
        <w:rPr>
          <w:b/>
          <w:bCs/>
          <w:sz w:val="22"/>
          <w:szCs w:val="22"/>
          <w:lang w:val="fr-FR"/>
        </w:rPr>
        <w:t xml:space="preserve">Produits ou services à fournir par le consultant </w:t>
      </w:r>
    </w:p>
    <w:p w14:paraId="7A96F5FE" w14:textId="77777777" w:rsidR="008B692E" w:rsidRDefault="008B692E" w:rsidP="008B692E">
      <w:pPr>
        <w:rPr>
          <w:lang w:val="fr-FR"/>
        </w:rPr>
      </w:pPr>
      <w:r>
        <w:rPr>
          <w:lang w:val="fr-FR"/>
        </w:rPr>
        <w:t xml:space="preserve">Les différents résultats sont attendus du consultant : </w:t>
      </w:r>
    </w:p>
    <w:p w14:paraId="0C68051E" w14:textId="77777777" w:rsidR="008B692E" w:rsidRDefault="008B692E" w:rsidP="008B692E">
      <w:pPr>
        <w:rPr>
          <w:lang w:val="fr-FR"/>
        </w:rPr>
      </w:pPr>
    </w:p>
    <w:p w14:paraId="0D98FC7C" w14:textId="77777777" w:rsidR="008B692E" w:rsidRPr="00CF7101" w:rsidRDefault="008B692E" w:rsidP="008B692E">
      <w:pPr>
        <w:pStyle w:val="Listbullets"/>
        <w:rPr>
          <w:b/>
          <w:bCs/>
          <w:lang w:val="fr-FR"/>
        </w:rPr>
      </w:pPr>
      <w:r w:rsidRPr="00CF7101">
        <w:rPr>
          <w:b/>
          <w:bCs/>
          <w:lang w:val="fr-FR"/>
        </w:rPr>
        <w:t xml:space="preserve">Préparer et animer la formation </w:t>
      </w:r>
    </w:p>
    <w:p w14:paraId="411AD772" w14:textId="77777777" w:rsidR="008B692E" w:rsidRDefault="008B692E" w:rsidP="00E00097">
      <w:pPr>
        <w:pStyle w:val="Listbullets"/>
        <w:numPr>
          <w:ilvl w:val="0"/>
          <w:numId w:val="11"/>
        </w:numPr>
        <w:rPr>
          <w:lang w:val="fr-FR"/>
        </w:rPr>
      </w:pPr>
      <w:r w:rsidRPr="00CF7101">
        <w:rPr>
          <w:lang w:val="fr-FR"/>
        </w:rPr>
        <w:t>Faciliter les modules de gouvernance PGLR+ (décentralisation, inclusion, leadership, plaidoyer, redevabilité, etc.).</w:t>
      </w:r>
    </w:p>
    <w:p w14:paraId="3DC8054F" w14:textId="77777777" w:rsidR="008B692E" w:rsidRPr="00CF7101" w:rsidRDefault="008B692E" w:rsidP="00E00097">
      <w:pPr>
        <w:pStyle w:val="Listbullets"/>
        <w:numPr>
          <w:ilvl w:val="0"/>
          <w:numId w:val="11"/>
        </w:numPr>
        <w:rPr>
          <w:lang w:val="fr-FR"/>
        </w:rPr>
      </w:pPr>
      <w:r w:rsidRPr="00CF7101">
        <w:rPr>
          <w:lang w:val="fr-FR"/>
        </w:rPr>
        <w:t>Encadrer les exercices pratiques, simulations, mini-sessions et travaux de groupe.</w:t>
      </w:r>
    </w:p>
    <w:p w14:paraId="3D8079D2" w14:textId="77777777" w:rsidR="008B692E" w:rsidRPr="00CF7101" w:rsidRDefault="008B692E" w:rsidP="00E00097">
      <w:pPr>
        <w:pStyle w:val="Listbullets"/>
        <w:numPr>
          <w:ilvl w:val="0"/>
          <w:numId w:val="11"/>
        </w:numPr>
        <w:spacing w:after="240"/>
        <w:rPr>
          <w:lang w:val="fr-FR"/>
        </w:rPr>
      </w:pPr>
      <w:r w:rsidRPr="00CF7101">
        <w:rPr>
          <w:lang w:val="fr-FR"/>
        </w:rPr>
        <w:t>Fournir les supports d’auto-apprentissage (modules, fiches, exercices, vidéos).</w:t>
      </w:r>
    </w:p>
    <w:p w14:paraId="04CE4A21" w14:textId="77777777" w:rsidR="008B692E" w:rsidRPr="00CF7101" w:rsidRDefault="008B692E" w:rsidP="008B692E">
      <w:pPr>
        <w:pStyle w:val="Listbullets"/>
        <w:rPr>
          <w:b/>
          <w:bCs/>
          <w:lang w:val="fr-FR"/>
        </w:rPr>
      </w:pPr>
      <w:r w:rsidRPr="00CF7101">
        <w:rPr>
          <w:b/>
          <w:bCs/>
          <w:lang w:val="fr-FR"/>
        </w:rPr>
        <w:t>Produire un rapport complet de formation</w:t>
      </w:r>
    </w:p>
    <w:p w14:paraId="78FE897C" w14:textId="77777777" w:rsidR="008B692E" w:rsidRPr="00CF7101" w:rsidRDefault="008B692E" w:rsidP="00E00097">
      <w:pPr>
        <w:pStyle w:val="Listbullets"/>
        <w:numPr>
          <w:ilvl w:val="0"/>
          <w:numId w:val="11"/>
        </w:numPr>
        <w:rPr>
          <w:lang w:val="fr-FR"/>
        </w:rPr>
      </w:pPr>
      <w:r w:rsidRPr="00CF7101">
        <w:rPr>
          <w:lang w:val="fr-FR"/>
        </w:rPr>
        <w:t>Documenter le déroulement des deux phases.</w:t>
      </w:r>
    </w:p>
    <w:p w14:paraId="57ED4E69" w14:textId="77777777" w:rsidR="008B692E" w:rsidRPr="00CF7101" w:rsidRDefault="008B692E" w:rsidP="00E00097">
      <w:pPr>
        <w:pStyle w:val="Listbullets"/>
        <w:numPr>
          <w:ilvl w:val="0"/>
          <w:numId w:val="11"/>
        </w:numPr>
        <w:rPr>
          <w:lang w:val="fr-FR"/>
        </w:rPr>
      </w:pPr>
      <w:r w:rsidRPr="00CF7101">
        <w:rPr>
          <w:lang w:val="fr-FR"/>
        </w:rPr>
        <w:t>Présenter les acquis, difficultés et recommandations.</w:t>
      </w:r>
    </w:p>
    <w:p w14:paraId="45E5EF6E" w14:textId="77777777" w:rsidR="008B692E" w:rsidRDefault="008B692E" w:rsidP="00E00097">
      <w:pPr>
        <w:pStyle w:val="Listbullets"/>
        <w:numPr>
          <w:ilvl w:val="0"/>
          <w:numId w:val="11"/>
        </w:numPr>
        <w:spacing w:after="240"/>
        <w:rPr>
          <w:lang w:val="fr-FR"/>
        </w:rPr>
      </w:pPr>
      <w:r w:rsidRPr="00CF7101">
        <w:rPr>
          <w:lang w:val="fr-FR"/>
        </w:rPr>
        <w:lastRenderedPageBreak/>
        <w:t>Fournir la liste complète des participants, outils utilisés, photos, plans d’action régionaux validés.</w:t>
      </w:r>
    </w:p>
    <w:p w14:paraId="211F2E46" w14:textId="77777777" w:rsidR="008B692E" w:rsidRPr="00681D3F" w:rsidRDefault="008B692E" w:rsidP="008B692E">
      <w:pPr>
        <w:pStyle w:val="Listbullets"/>
        <w:rPr>
          <w:b/>
          <w:bCs/>
          <w:lang w:val="fr-FR"/>
        </w:rPr>
      </w:pPr>
      <w:r w:rsidRPr="00681D3F">
        <w:rPr>
          <w:b/>
          <w:bCs/>
          <w:lang w:val="fr-FR"/>
        </w:rPr>
        <w:t>Élaborer les outils de suivi-évaluation de la formation</w:t>
      </w:r>
    </w:p>
    <w:p w14:paraId="443EE8B4" w14:textId="77777777" w:rsidR="008B692E" w:rsidRPr="00CF7101" w:rsidRDefault="008B692E" w:rsidP="00E00097">
      <w:pPr>
        <w:pStyle w:val="Listbullets"/>
        <w:numPr>
          <w:ilvl w:val="0"/>
          <w:numId w:val="11"/>
        </w:numPr>
        <w:rPr>
          <w:lang w:val="fr-FR"/>
        </w:rPr>
      </w:pPr>
      <w:r w:rsidRPr="00CF7101">
        <w:rPr>
          <w:lang w:val="fr-FR"/>
        </w:rPr>
        <w:t>Pré/post-tests.</w:t>
      </w:r>
    </w:p>
    <w:p w14:paraId="3C7220DA" w14:textId="77777777" w:rsidR="008B692E" w:rsidRPr="00CF7101" w:rsidRDefault="008B692E" w:rsidP="00E00097">
      <w:pPr>
        <w:pStyle w:val="Listbullets"/>
        <w:numPr>
          <w:ilvl w:val="0"/>
          <w:numId w:val="11"/>
        </w:numPr>
        <w:rPr>
          <w:lang w:val="fr-FR"/>
        </w:rPr>
      </w:pPr>
      <w:r w:rsidRPr="00CF7101">
        <w:rPr>
          <w:lang w:val="fr-FR"/>
        </w:rPr>
        <w:t>Grilles d’évaluation des mini-sessions.</w:t>
      </w:r>
    </w:p>
    <w:p w14:paraId="01630E69" w14:textId="77777777" w:rsidR="008B692E" w:rsidRPr="00CF7101" w:rsidRDefault="008B692E" w:rsidP="00E00097">
      <w:pPr>
        <w:pStyle w:val="Listbullets"/>
        <w:numPr>
          <w:ilvl w:val="0"/>
          <w:numId w:val="11"/>
        </w:numPr>
        <w:spacing w:after="240"/>
        <w:rPr>
          <w:lang w:val="fr-FR"/>
        </w:rPr>
      </w:pPr>
      <w:r w:rsidRPr="00CF7101">
        <w:rPr>
          <w:lang w:val="fr-FR"/>
        </w:rPr>
        <w:t>Modèle de plan de restitution pour les régions.</w:t>
      </w:r>
    </w:p>
    <w:p w14:paraId="14C9DBE3" w14:textId="67A164D8" w:rsidR="00D627B5" w:rsidRPr="008E49A5" w:rsidRDefault="00D627B5" w:rsidP="00D627B5">
      <w:pPr>
        <w:pStyle w:val="Caption"/>
        <w:rPr>
          <w:lang w:val="fr-FR"/>
        </w:rPr>
      </w:pPr>
      <w:r w:rsidRPr="008E49A5">
        <w:rPr>
          <w:lang w:val="fr-FR"/>
        </w:rPr>
        <w:t xml:space="preserve">Table </w:t>
      </w:r>
      <w:proofErr w:type="gramStart"/>
      <w:r w:rsidRPr="008E49A5">
        <w:rPr>
          <w:lang w:val="fr-FR"/>
        </w:rPr>
        <w:t>1:</w:t>
      </w:r>
      <w:proofErr w:type="gramEnd"/>
      <w:r w:rsidRPr="008E49A5">
        <w:rPr>
          <w:lang w:val="fr-FR"/>
        </w:rPr>
        <w:t xml:space="preserve"> </w:t>
      </w:r>
      <w:r w:rsidR="007B23F1" w:rsidRPr="008E49A5">
        <w:rPr>
          <w:lang w:val="fr-FR"/>
        </w:rPr>
        <w:t>Liste des livrables</w:t>
      </w:r>
    </w:p>
    <w:tbl>
      <w:tblPr>
        <w:tblStyle w:val="TableGrid"/>
        <w:tblW w:w="0" w:type="auto"/>
        <w:tblLook w:val="04A0" w:firstRow="1" w:lastRow="0" w:firstColumn="1" w:lastColumn="0" w:noHBand="0" w:noVBand="1"/>
      </w:tblPr>
      <w:tblGrid>
        <w:gridCol w:w="2547"/>
        <w:gridCol w:w="2551"/>
        <w:gridCol w:w="3741"/>
      </w:tblGrid>
      <w:tr w:rsidR="00D627B5" w:rsidRPr="003A43B7" w14:paraId="21A71A38" w14:textId="77777777" w:rsidTr="00047FB0">
        <w:trPr>
          <w:tblHeader/>
        </w:trPr>
        <w:tc>
          <w:tcPr>
            <w:tcW w:w="2547" w:type="dxa"/>
            <w:shd w:val="clear" w:color="auto" w:fill="375380" w:themeFill="text2"/>
          </w:tcPr>
          <w:p w14:paraId="1F055A20" w14:textId="6F86971D" w:rsidR="00D627B5" w:rsidRPr="003A43B7" w:rsidRDefault="007B23F1" w:rsidP="009F6019">
            <w:pPr>
              <w:rPr>
                <w:b/>
                <w:bCs/>
                <w:noProof/>
                <w:color w:val="FFFFFF" w:themeColor="background1"/>
                <w:lang w:val="fr-FR"/>
              </w:rPr>
            </w:pPr>
            <w:r w:rsidRPr="003A43B7">
              <w:rPr>
                <w:b/>
                <w:bCs/>
                <w:noProof/>
                <w:color w:val="FFFFFF" w:themeColor="background1"/>
                <w:lang w:val="fr-FR"/>
              </w:rPr>
              <w:t>Livrables</w:t>
            </w:r>
          </w:p>
        </w:tc>
        <w:tc>
          <w:tcPr>
            <w:tcW w:w="2551" w:type="dxa"/>
            <w:shd w:val="clear" w:color="auto" w:fill="375380" w:themeFill="text2"/>
          </w:tcPr>
          <w:p w14:paraId="2B5F3C1E" w14:textId="4A3F9103" w:rsidR="00D627B5" w:rsidRPr="003A43B7" w:rsidRDefault="001D40D9" w:rsidP="009F6019">
            <w:pPr>
              <w:pStyle w:val="Listbullets"/>
              <w:numPr>
                <w:ilvl w:val="0"/>
                <w:numId w:val="0"/>
              </w:numPr>
              <w:rPr>
                <w:b/>
                <w:bCs/>
                <w:noProof/>
                <w:color w:val="FFFFFF" w:themeColor="background1"/>
                <w:lang w:val="fr-FR"/>
              </w:rPr>
            </w:pPr>
            <w:r w:rsidRPr="003A43B7">
              <w:rPr>
                <w:b/>
                <w:bCs/>
                <w:noProof/>
                <w:color w:val="FFFFFF" w:themeColor="background1"/>
                <w:lang w:val="fr-FR"/>
              </w:rPr>
              <w:t>Contenu principal</w:t>
            </w:r>
          </w:p>
        </w:tc>
        <w:tc>
          <w:tcPr>
            <w:tcW w:w="3741" w:type="dxa"/>
            <w:shd w:val="clear" w:color="auto" w:fill="375380" w:themeFill="text2"/>
          </w:tcPr>
          <w:p w14:paraId="7F92111A" w14:textId="340A1869" w:rsidR="00D627B5" w:rsidRPr="003A43B7" w:rsidRDefault="001D40D9" w:rsidP="009F6019">
            <w:pPr>
              <w:pStyle w:val="Listbullets"/>
              <w:numPr>
                <w:ilvl w:val="0"/>
                <w:numId w:val="0"/>
              </w:numPr>
              <w:ind w:left="397" w:hanging="397"/>
              <w:rPr>
                <w:b/>
                <w:bCs/>
                <w:noProof/>
                <w:color w:val="FFFFFF" w:themeColor="background1"/>
                <w:lang w:val="fr-FR"/>
              </w:rPr>
            </w:pPr>
            <w:r w:rsidRPr="003A43B7">
              <w:rPr>
                <w:b/>
                <w:bCs/>
                <w:noProof/>
                <w:color w:val="FFFFFF" w:themeColor="background1"/>
                <w:lang w:val="fr-FR"/>
              </w:rPr>
              <w:t>Délai</w:t>
            </w:r>
          </w:p>
        </w:tc>
      </w:tr>
      <w:tr w:rsidR="00D627B5" w:rsidRPr="003A43B7" w14:paraId="27704A7E" w14:textId="77777777" w:rsidTr="00047FB0">
        <w:tc>
          <w:tcPr>
            <w:tcW w:w="2547" w:type="dxa"/>
          </w:tcPr>
          <w:p w14:paraId="22A58EEB" w14:textId="736052B0" w:rsidR="00D627B5" w:rsidRPr="003A43B7" w:rsidRDefault="001D40D9" w:rsidP="009F6019">
            <w:pPr>
              <w:rPr>
                <w:lang w:val="fr-FR"/>
              </w:rPr>
            </w:pPr>
            <w:r w:rsidRPr="003A43B7">
              <w:rPr>
                <w:lang w:val="fr-FR"/>
              </w:rPr>
              <w:t>Kit pédagogique</w:t>
            </w:r>
          </w:p>
        </w:tc>
        <w:tc>
          <w:tcPr>
            <w:tcW w:w="2551" w:type="dxa"/>
          </w:tcPr>
          <w:p w14:paraId="362BFB58" w14:textId="1180233E" w:rsidR="00047FB0" w:rsidRPr="003A43B7" w:rsidRDefault="001D40D9" w:rsidP="00047FB0">
            <w:pPr>
              <w:rPr>
                <w:lang w:val="fr-FR"/>
              </w:rPr>
            </w:pPr>
            <w:r w:rsidRPr="007D1D17">
              <w:rPr>
                <w:lang w:val="fr-FR"/>
              </w:rPr>
              <w:t>Modules, fiches, exercices</w:t>
            </w:r>
            <w:r w:rsidR="00047FB0" w:rsidRPr="003A43B7">
              <w:rPr>
                <w:lang w:val="fr-FR"/>
              </w:rPr>
              <w:t>, Vidéos courtes (si prévues)</w:t>
            </w:r>
          </w:p>
          <w:p w14:paraId="4468862B" w14:textId="2A53111F" w:rsidR="001D40D9" w:rsidRPr="003A43B7" w:rsidRDefault="00047FB0" w:rsidP="00047FB0">
            <w:pPr>
              <w:rPr>
                <w:lang w:val="fr-FR"/>
              </w:rPr>
            </w:pPr>
            <w:r w:rsidRPr="003A43B7">
              <w:rPr>
                <w:lang w:val="fr-FR"/>
              </w:rPr>
              <w:t>Grilles d’auto-évaluation</w:t>
            </w:r>
          </w:p>
        </w:tc>
        <w:tc>
          <w:tcPr>
            <w:tcW w:w="3741" w:type="dxa"/>
          </w:tcPr>
          <w:p w14:paraId="78EFED52" w14:textId="3755B826" w:rsidR="00D627B5" w:rsidRPr="003A43B7" w:rsidRDefault="00047FB0" w:rsidP="009F6019">
            <w:pPr>
              <w:pStyle w:val="Listbullets"/>
              <w:rPr>
                <w:lang w:val="fr-FR"/>
              </w:rPr>
            </w:pPr>
            <w:r w:rsidRPr="003A43B7">
              <w:rPr>
                <w:lang w:val="fr-FR"/>
              </w:rPr>
              <w:t>5 jours avant la formation</w:t>
            </w:r>
          </w:p>
        </w:tc>
      </w:tr>
      <w:tr w:rsidR="00047FB0" w:rsidRPr="003A43B7" w14:paraId="2AAEEC99" w14:textId="77777777" w:rsidTr="00047FB0">
        <w:tc>
          <w:tcPr>
            <w:tcW w:w="2547" w:type="dxa"/>
          </w:tcPr>
          <w:p w14:paraId="414AC585" w14:textId="03384375" w:rsidR="00047FB0" w:rsidRPr="003A43B7" w:rsidRDefault="00047FB0" w:rsidP="009F6019">
            <w:pPr>
              <w:rPr>
                <w:lang w:val="fr-FR"/>
              </w:rPr>
            </w:pPr>
            <w:r w:rsidRPr="003A43B7">
              <w:rPr>
                <w:lang w:val="fr-FR"/>
              </w:rPr>
              <w:t>Plan détaillé de la formation</w:t>
            </w:r>
          </w:p>
        </w:tc>
        <w:tc>
          <w:tcPr>
            <w:tcW w:w="2551" w:type="dxa"/>
          </w:tcPr>
          <w:p w14:paraId="483E3EB2" w14:textId="640D3376" w:rsidR="003A43B7" w:rsidRPr="003A43B7" w:rsidRDefault="003A43B7" w:rsidP="003A43B7">
            <w:pPr>
              <w:rPr>
                <w:lang w:val="fr-FR"/>
              </w:rPr>
            </w:pPr>
            <w:r w:rsidRPr="003A43B7">
              <w:rPr>
                <w:lang w:val="fr-FR"/>
              </w:rPr>
              <w:t>Programme détaillé jour par jour</w:t>
            </w:r>
            <w:r w:rsidR="00047FB0" w:rsidRPr="007D1D17">
              <w:rPr>
                <w:lang w:val="fr-FR"/>
              </w:rPr>
              <w:t xml:space="preserve">, </w:t>
            </w:r>
            <w:r w:rsidRPr="003A43B7">
              <w:rPr>
                <w:lang w:val="fr-FR"/>
              </w:rPr>
              <w:t xml:space="preserve">Méthodologie, Répartition des mini-sessions, Logistique et besoins pédagogiques </w:t>
            </w:r>
            <w:r w:rsidR="00047FB0" w:rsidRPr="007D1D17">
              <w:rPr>
                <w:lang w:val="fr-FR"/>
              </w:rPr>
              <w:t>méthodes,</w:t>
            </w:r>
            <w:r w:rsidR="00047FB0" w:rsidRPr="003A43B7">
              <w:rPr>
                <w:lang w:val="fr-FR"/>
              </w:rPr>
              <w:t xml:space="preserve"> </w:t>
            </w:r>
            <w:r w:rsidRPr="007D1D17">
              <w:rPr>
                <w:lang w:val="fr-FR"/>
              </w:rPr>
              <w:t>besoins</w:t>
            </w:r>
            <w:r w:rsidRPr="003A43B7">
              <w:rPr>
                <w:lang w:val="fr-FR"/>
              </w:rPr>
              <w:t xml:space="preserve"> ; </w:t>
            </w:r>
          </w:p>
          <w:p w14:paraId="6C886345" w14:textId="14FC4ED5" w:rsidR="003A43B7" w:rsidRPr="003A43B7" w:rsidRDefault="003A43B7" w:rsidP="003A43B7">
            <w:pPr>
              <w:rPr>
                <w:lang w:val="fr-FR"/>
              </w:rPr>
            </w:pPr>
          </w:p>
        </w:tc>
        <w:tc>
          <w:tcPr>
            <w:tcW w:w="3741" w:type="dxa"/>
          </w:tcPr>
          <w:p w14:paraId="475533BE" w14:textId="303B8A1F" w:rsidR="00047FB0" w:rsidRPr="003A43B7" w:rsidRDefault="00047FB0" w:rsidP="009F6019">
            <w:pPr>
              <w:pStyle w:val="Listbullets"/>
              <w:rPr>
                <w:lang w:val="fr-FR"/>
              </w:rPr>
            </w:pPr>
            <w:r w:rsidRPr="003A43B7">
              <w:rPr>
                <w:lang w:val="fr-FR"/>
              </w:rPr>
              <w:t>7 jours avant la formation</w:t>
            </w:r>
          </w:p>
        </w:tc>
      </w:tr>
      <w:tr w:rsidR="00D627B5" w:rsidRPr="003A43B7" w14:paraId="42363867" w14:textId="77777777" w:rsidTr="00047FB0">
        <w:tc>
          <w:tcPr>
            <w:tcW w:w="2547" w:type="dxa"/>
          </w:tcPr>
          <w:p w14:paraId="19E6863D" w14:textId="04F9A49E" w:rsidR="00D627B5" w:rsidRPr="003A43B7" w:rsidRDefault="00047FB0" w:rsidP="009F6019">
            <w:pPr>
              <w:rPr>
                <w:lang w:val="fr-FR"/>
              </w:rPr>
            </w:pPr>
            <w:r w:rsidRPr="003A43B7">
              <w:rPr>
                <w:lang w:val="fr-FR"/>
              </w:rPr>
              <w:t>Animation formation</w:t>
            </w:r>
          </w:p>
        </w:tc>
        <w:tc>
          <w:tcPr>
            <w:tcW w:w="2551" w:type="dxa"/>
          </w:tcPr>
          <w:p w14:paraId="3BB88A0F" w14:textId="6A22F678" w:rsidR="00D627B5" w:rsidRPr="003A43B7" w:rsidRDefault="00047FB0" w:rsidP="00D627B5">
            <w:pPr>
              <w:rPr>
                <w:lang w:val="fr-FR"/>
              </w:rPr>
            </w:pPr>
            <w:r w:rsidRPr="007D1D17">
              <w:rPr>
                <w:lang w:val="fr-FR"/>
              </w:rPr>
              <w:t>Modules PGLR+</w:t>
            </w:r>
            <w:r w:rsidR="00B04732">
              <w:rPr>
                <w:lang w:val="fr-FR"/>
              </w:rPr>
              <w:t xml:space="preserve"> </w:t>
            </w:r>
            <w:r w:rsidR="00B04732" w:rsidRPr="00CF7101">
              <w:rPr>
                <w:lang w:val="fr-FR"/>
              </w:rPr>
              <w:t>décentralisation, inclusion, leadership, plaidoyer, redevabilité, etc.)</w:t>
            </w:r>
          </w:p>
        </w:tc>
        <w:tc>
          <w:tcPr>
            <w:tcW w:w="3741" w:type="dxa"/>
          </w:tcPr>
          <w:p w14:paraId="31952842" w14:textId="21DD42F1" w:rsidR="00D627B5" w:rsidRPr="003A43B7" w:rsidRDefault="00047FB0" w:rsidP="009F6019">
            <w:pPr>
              <w:pStyle w:val="Listbullets"/>
              <w:rPr>
                <w:lang w:val="fr-FR"/>
              </w:rPr>
            </w:pPr>
            <w:r w:rsidRPr="003A43B7">
              <w:rPr>
                <w:lang w:val="fr-FR"/>
              </w:rPr>
              <w:t>5 jours (dates fixes)</w:t>
            </w:r>
          </w:p>
        </w:tc>
      </w:tr>
      <w:tr w:rsidR="00D627B5" w:rsidRPr="003A43B7" w14:paraId="1CE3CE5B" w14:textId="77777777" w:rsidTr="00047FB0">
        <w:tc>
          <w:tcPr>
            <w:tcW w:w="2547" w:type="dxa"/>
          </w:tcPr>
          <w:p w14:paraId="351EABBF" w14:textId="243CBA8A" w:rsidR="00D627B5" w:rsidRPr="003A43B7" w:rsidRDefault="00047FB0" w:rsidP="009F6019">
            <w:pPr>
              <w:rPr>
                <w:lang w:val="fr-FR"/>
              </w:rPr>
            </w:pPr>
            <w:r w:rsidRPr="003A43B7">
              <w:rPr>
                <w:lang w:val="fr-FR"/>
              </w:rPr>
              <w:t>Plans de restitution</w:t>
            </w:r>
          </w:p>
        </w:tc>
        <w:tc>
          <w:tcPr>
            <w:tcW w:w="2551" w:type="dxa"/>
          </w:tcPr>
          <w:p w14:paraId="3CA8FF64" w14:textId="518F3583" w:rsidR="003A43B7" w:rsidRPr="007D1D17" w:rsidRDefault="003A43B7" w:rsidP="003A43B7">
            <w:pPr>
              <w:rPr>
                <w:lang w:val="fr-FR"/>
              </w:rPr>
            </w:pPr>
            <w:r w:rsidRPr="007D1D17">
              <w:rPr>
                <w:lang w:val="fr-FR"/>
              </w:rPr>
              <w:t>Plans élaborés par les participants</w:t>
            </w:r>
            <w:r w:rsidRPr="003A43B7">
              <w:rPr>
                <w:lang w:val="fr-FR"/>
              </w:rPr>
              <w:t xml:space="preserve">, </w:t>
            </w:r>
            <w:r w:rsidRPr="007D1D17">
              <w:rPr>
                <w:lang w:val="fr-FR"/>
              </w:rPr>
              <w:t>Validation collective</w:t>
            </w:r>
          </w:p>
          <w:p w14:paraId="74AFA08A" w14:textId="3A5A8096" w:rsidR="00D627B5" w:rsidRPr="003A43B7" w:rsidRDefault="003A43B7" w:rsidP="003A43B7">
            <w:pPr>
              <w:rPr>
                <w:lang w:val="fr-FR"/>
              </w:rPr>
            </w:pPr>
            <w:r w:rsidRPr="007D1D17">
              <w:rPr>
                <w:lang w:val="fr-FR"/>
              </w:rPr>
              <w:t>Synthèse consolidée</w:t>
            </w:r>
            <w:r w:rsidRPr="007D1D17">
              <w:rPr>
                <w:lang w:val="fr-FR"/>
              </w:rPr>
              <w:br/>
            </w:r>
          </w:p>
        </w:tc>
        <w:tc>
          <w:tcPr>
            <w:tcW w:w="3741" w:type="dxa"/>
          </w:tcPr>
          <w:p w14:paraId="10AECC64" w14:textId="45E9A160" w:rsidR="00D627B5" w:rsidRPr="003A43B7" w:rsidRDefault="00047FB0" w:rsidP="009F6019">
            <w:pPr>
              <w:pStyle w:val="Listbullets"/>
              <w:rPr>
                <w:lang w:val="fr-FR"/>
              </w:rPr>
            </w:pPr>
            <w:r w:rsidRPr="003A43B7">
              <w:rPr>
                <w:lang w:val="fr-FR"/>
              </w:rPr>
              <w:t xml:space="preserve">Au plus tard 3 jours </w:t>
            </w:r>
            <w:r w:rsidRPr="007D1D17">
              <w:rPr>
                <w:lang w:val="fr-FR"/>
              </w:rPr>
              <w:t>après formation</w:t>
            </w:r>
          </w:p>
        </w:tc>
      </w:tr>
      <w:tr w:rsidR="00D627B5" w:rsidRPr="003A43B7" w14:paraId="6F6A2E92" w14:textId="77777777" w:rsidTr="00047FB0">
        <w:tc>
          <w:tcPr>
            <w:tcW w:w="2547" w:type="dxa"/>
          </w:tcPr>
          <w:p w14:paraId="6A702B1C" w14:textId="01792744" w:rsidR="00D627B5" w:rsidRPr="003A43B7" w:rsidRDefault="00047FB0" w:rsidP="009F6019">
            <w:pPr>
              <w:rPr>
                <w:lang w:val="fr-FR"/>
              </w:rPr>
            </w:pPr>
            <w:r w:rsidRPr="003A43B7">
              <w:rPr>
                <w:lang w:val="fr-FR"/>
              </w:rPr>
              <w:t>Rapport final</w:t>
            </w:r>
          </w:p>
        </w:tc>
        <w:tc>
          <w:tcPr>
            <w:tcW w:w="2551" w:type="dxa"/>
          </w:tcPr>
          <w:p w14:paraId="6C32B7E5" w14:textId="262DD149" w:rsidR="00D627B5" w:rsidRPr="003A43B7" w:rsidRDefault="00047FB0" w:rsidP="00D627B5">
            <w:pPr>
              <w:rPr>
                <w:lang w:val="fr-FR"/>
              </w:rPr>
            </w:pPr>
            <w:r w:rsidRPr="003A43B7">
              <w:rPr>
                <w:lang w:val="fr-FR"/>
              </w:rPr>
              <w:t>Rapport complet + recommandations</w:t>
            </w:r>
          </w:p>
        </w:tc>
        <w:tc>
          <w:tcPr>
            <w:tcW w:w="3741" w:type="dxa"/>
          </w:tcPr>
          <w:p w14:paraId="70C5CD84" w14:textId="62B15CFC" w:rsidR="00D627B5" w:rsidRPr="003A43B7" w:rsidRDefault="00047FB0" w:rsidP="009F6019">
            <w:pPr>
              <w:pStyle w:val="Listbullets"/>
              <w:rPr>
                <w:lang w:val="fr-FR"/>
              </w:rPr>
            </w:pPr>
            <w:r w:rsidRPr="003A43B7">
              <w:rPr>
                <w:lang w:val="fr-FR"/>
              </w:rPr>
              <w:t xml:space="preserve">Au plus tard </w:t>
            </w:r>
            <w:r w:rsidRPr="007D1D17">
              <w:rPr>
                <w:lang w:val="fr-FR"/>
              </w:rPr>
              <w:t xml:space="preserve">10 après </w:t>
            </w:r>
            <w:r w:rsidRPr="003A43B7">
              <w:rPr>
                <w:lang w:val="fr-FR"/>
              </w:rPr>
              <w:t xml:space="preserve">la </w:t>
            </w:r>
            <w:r w:rsidRPr="007D1D17">
              <w:rPr>
                <w:lang w:val="fr-FR"/>
              </w:rPr>
              <w:t>formation</w:t>
            </w:r>
          </w:p>
        </w:tc>
      </w:tr>
    </w:tbl>
    <w:p w14:paraId="0E3837C5" w14:textId="09AB1F33" w:rsidR="003A43B7" w:rsidRDefault="00AF58D7" w:rsidP="00AF58D7">
      <w:pPr>
        <w:tabs>
          <w:tab w:val="left" w:pos="1530"/>
        </w:tabs>
        <w:rPr>
          <w:lang w:val="fr-FR"/>
        </w:rPr>
      </w:pPr>
      <w:r>
        <w:rPr>
          <w:lang w:val="fr-FR"/>
        </w:rPr>
        <w:tab/>
      </w:r>
    </w:p>
    <w:p w14:paraId="0765A885" w14:textId="08430665" w:rsidR="00AF58D7" w:rsidRDefault="00AF58D7" w:rsidP="00AF58D7">
      <w:pPr>
        <w:pStyle w:val="Heading1"/>
        <w:rPr>
          <w:lang w:val="fr-FR"/>
        </w:rPr>
      </w:pPr>
      <w:r>
        <w:rPr>
          <w:lang w:val="fr-FR"/>
        </w:rPr>
        <w:t>Profil recherché :</w:t>
      </w:r>
    </w:p>
    <w:p w14:paraId="080D36C8" w14:textId="46B06E4A" w:rsidR="00AF58D7" w:rsidRPr="00AF58D7" w:rsidRDefault="00AF58D7" w:rsidP="00AF58D7">
      <w:pPr>
        <w:tabs>
          <w:tab w:val="left" w:pos="1530"/>
        </w:tabs>
        <w:rPr>
          <w:lang w:val="fr-FR"/>
        </w:rPr>
      </w:pPr>
      <w:r w:rsidRPr="00AF58D7">
        <w:rPr>
          <w:lang w:val="fr-FR"/>
        </w:rPr>
        <w:t>Le/la consultant(e) ou cabinet recherché(e) doit disposer des qualifications et compétences suivantes :</w:t>
      </w:r>
    </w:p>
    <w:p w14:paraId="29CE2941" w14:textId="4AB928BD" w:rsidR="00AF58D7" w:rsidRDefault="00AF58D7" w:rsidP="00AF58D7">
      <w:pPr>
        <w:pStyle w:val="Listbullets"/>
        <w:rPr>
          <w:lang w:val="fr-FR"/>
        </w:rPr>
      </w:pPr>
      <w:r w:rsidRPr="00AF58D7">
        <w:rPr>
          <w:lang w:val="fr-FR"/>
        </w:rPr>
        <w:t>Diplôme universitaire (Master ou équivalent) en gouvernance locale</w:t>
      </w:r>
      <w:r>
        <w:rPr>
          <w:lang w:val="fr-FR"/>
        </w:rPr>
        <w:t xml:space="preserve"> </w:t>
      </w:r>
      <w:r w:rsidRPr="001603F7">
        <w:rPr>
          <w:lang w:val="fr-FR"/>
        </w:rPr>
        <w:t>et décentralisation</w:t>
      </w:r>
      <w:r w:rsidRPr="00AF58D7">
        <w:rPr>
          <w:lang w:val="fr-FR"/>
        </w:rPr>
        <w:t>, sciences sociales, ingénierie de formation, développement, ou domaine similaire.</w:t>
      </w:r>
    </w:p>
    <w:p w14:paraId="66E94063" w14:textId="1AD5CCCE" w:rsidR="00AF58D7" w:rsidRDefault="00AF58D7" w:rsidP="00AF58D7">
      <w:pPr>
        <w:pStyle w:val="Listbullets"/>
        <w:rPr>
          <w:lang w:val="fr-FR"/>
        </w:rPr>
      </w:pPr>
      <w:r w:rsidRPr="00AF58D7">
        <w:rPr>
          <w:lang w:val="fr-FR"/>
        </w:rPr>
        <w:t>Certifications ou formations en pédagogie, formation de formateurs</w:t>
      </w:r>
      <w:r w:rsidR="001603F7">
        <w:rPr>
          <w:lang w:val="fr-FR"/>
        </w:rPr>
        <w:t>.</w:t>
      </w:r>
    </w:p>
    <w:p w14:paraId="7D82A9D8" w14:textId="79FD3929" w:rsidR="00AF58D7" w:rsidRPr="008D4B9C" w:rsidRDefault="00AF58D7" w:rsidP="00AF58D7">
      <w:pPr>
        <w:pStyle w:val="Listbullets"/>
        <w:rPr>
          <w:lang w:val="fr-FR"/>
        </w:rPr>
      </w:pPr>
      <w:r w:rsidRPr="008D4B9C">
        <w:rPr>
          <w:lang w:val="fr-FR"/>
        </w:rPr>
        <w:t>Minimum 7 ans d’expérience dans la conception et l’animation de formations, notamment en formation de formateurs</w:t>
      </w:r>
    </w:p>
    <w:p w14:paraId="06098BB1" w14:textId="5ADF9F9D" w:rsidR="001603F7" w:rsidRDefault="001603F7" w:rsidP="00AF58D7">
      <w:pPr>
        <w:pStyle w:val="Listbullets"/>
        <w:rPr>
          <w:lang w:val="fr-FR"/>
        </w:rPr>
      </w:pPr>
      <w:r w:rsidRPr="008D4B9C">
        <w:rPr>
          <w:lang w:val="fr-FR"/>
        </w:rPr>
        <w:t>Excellente communication, capacité</w:t>
      </w:r>
      <w:r w:rsidRPr="001603F7">
        <w:rPr>
          <w:lang w:val="fr-FR"/>
        </w:rPr>
        <w:t xml:space="preserve"> d’écoute et aisance avec un public jeune.</w:t>
      </w:r>
    </w:p>
    <w:p w14:paraId="4DA89C63" w14:textId="6B22010F" w:rsidR="008D4B9C" w:rsidRDefault="008D4B9C" w:rsidP="00AF58D7">
      <w:pPr>
        <w:pStyle w:val="Listbullets"/>
        <w:rPr>
          <w:lang w:val="fr-FR"/>
        </w:rPr>
      </w:pPr>
      <w:r w:rsidRPr="008D4B9C">
        <w:rPr>
          <w:lang w:val="fr-FR"/>
        </w:rPr>
        <w:t>Collaboration antérieure avec le CNJ, les associations de jeunesse ou des programmes similaires ;</w:t>
      </w:r>
    </w:p>
    <w:p w14:paraId="3F0D5820" w14:textId="5B9C1222" w:rsidR="008D4B9C" w:rsidRPr="008D4B9C" w:rsidRDefault="008D4B9C" w:rsidP="008D4B9C">
      <w:pPr>
        <w:pStyle w:val="Listbullets"/>
        <w:rPr>
          <w:lang w:val="fr-FR"/>
        </w:rPr>
      </w:pPr>
      <w:r w:rsidRPr="008D4B9C">
        <w:rPr>
          <w:lang w:val="fr-FR"/>
        </w:rPr>
        <w:lastRenderedPageBreak/>
        <w:t xml:space="preserve">La réalisation d’au moins deux </w:t>
      </w:r>
      <w:r>
        <w:rPr>
          <w:lang w:val="fr-FR"/>
        </w:rPr>
        <w:t>missions similaires</w:t>
      </w:r>
      <w:r w:rsidRPr="008D4B9C">
        <w:rPr>
          <w:lang w:val="fr-FR"/>
        </w:rPr>
        <w:t>.</w:t>
      </w:r>
    </w:p>
    <w:p w14:paraId="7DFA9B4A" w14:textId="36D6C42F" w:rsidR="008D4B9C" w:rsidRDefault="008D4B9C" w:rsidP="008D4B9C">
      <w:pPr>
        <w:pStyle w:val="Listbullets"/>
        <w:rPr>
          <w:lang w:val="fr-FR"/>
        </w:rPr>
      </w:pPr>
      <w:r w:rsidRPr="008D4B9C">
        <w:rPr>
          <w:lang w:val="fr-FR"/>
        </w:rPr>
        <w:t xml:space="preserve">Une expérience pertinente avec des </w:t>
      </w:r>
      <w:r>
        <w:rPr>
          <w:lang w:val="fr-FR"/>
        </w:rPr>
        <w:t xml:space="preserve">ONG Internationales et Bailleurs </w:t>
      </w:r>
      <w:r w:rsidRPr="008D4B9C">
        <w:rPr>
          <w:lang w:val="fr-FR"/>
        </w:rPr>
        <w:t>de fonds tels que l’Ambassade du Royaume des Pays-Bas, la Coopération Suisse, l’Union européenne, l’AFD, la Coopération Allemande</w:t>
      </w:r>
    </w:p>
    <w:p w14:paraId="01FA739F" w14:textId="77777777" w:rsidR="00521A39" w:rsidRDefault="00521A39" w:rsidP="00521A39">
      <w:pPr>
        <w:pStyle w:val="Listbullets"/>
        <w:numPr>
          <w:ilvl w:val="0"/>
          <w:numId w:val="0"/>
        </w:numPr>
        <w:ind w:left="397" w:hanging="397"/>
        <w:rPr>
          <w:lang w:val="fr-FR"/>
        </w:rPr>
      </w:pPr>
    </w:p>
    <w:p w14:paraId="25942477" w14:textId="77506137" w:rsidR="00521A39" w:rsidRPr="008D4B9C" w:rsidRDefault="00C13206" w:rsidP="00521A39">
      <w:pPr>
        <w:pStyle w:val="Heading1"/>
        <w:rPr>
          <w:lang w:val="fr-FR"/>
        </w:rPr>
      </w:pPr>
      <w:r>
        <w:rPr>
          <w:lang w:val="fr-FR"/>
        </w:rPr>
        <w:t xml:space="preserve">Portée et </w:t>
      </w:r>
      <w:r w:rsidR="00521A39">
        <w:rPr>
          <w:lang w:val="fr-FR"/>
        </w:rPr>
        <w:t>Durée de la mission</w:t>
      </w:r>
    </w:p>
    <w:p w14:paraId="68C1A7F8" w14:textId="72642EF0" w:rsidR="00C13206" w:rsidRDefault="00C13206" w:rsidP="00C13206">
      <w:pPr>
        <w:pStyle w:val="BodyText"/>
        <w:spacing w:before="3" w:line="276" w:lineRule="auto"/>
        <w:jc w:val="both"/>
        <w:rPr>
          <w:rFonts w:asciiTheme="minorHAnsi" w:hAnsiTheme="minorHAnsi" w:cstheme="minorHAnsi"/>
          <w:sz w:val="22"/>
          <w:szCs w:val="22"/>
          <w:lang w:val="fr-FR"/>
        </w:rPr>
      </w:pPr>
      <w:r w:rsidRPr="00521A39">
        <w:rPr>
          <w:rFonts w:asciiTheme="minorHAnsi" w:hAnsiTheme="minorHAnsi" w:cstheme="minorHAnsi"/>
          <w:sz w:val="22"/>
          <w:szCs w:val="22"/>
          <w:lang w:val="fr-FR"/>
        </w:rPr>
        <w:t>La mission s’étale sur une période de 08 jour ouvrable, selon un planning proposé par le/la consultant(e)</w:t>
      </w:r>
      <w:r>
        <w:rPr>
          <w:rFonts w:asciiTheme="minorHAnsi" w:hAnsiTheme="minorHAnsi" w:cstheme="minorHAnsi"/>
          <w:sz w:val="22"/>
          <w:szCs w:val="22"/>
          <w:lang w:val="fr-FR"/>
        </w:rPr>
        <w:t xml:space="preserve"> ou le cabinet. Elle sera réalisée </w:t>
      </w:r>
      <w:r w:rsidRPr="00521A39">
        <w:rPr>
          <w:rFonts w:asciiTheme="minorHAnsi" w:hAnsiTheme="minorHAnsi" w:cstheme="minorHAnsi"/>
          <w:sz w:val="22"/>
          <w:szCs w:val="22"/>
          <w:lang w:val="fr-FR"/>
        </w:rPr>
        <w:t xml:space="preserve">avant le </w:t>
      </w:r>
      <w:r>
        <w:rPr>
          <w:rFonts w:asciiTheme="minorHAnsi" w:hAnsiTheme="minorHAnsi" w:cstheme="minorHAnsi"/>
          <w:sz w:val="22"/>
          <w:szCs w:val="22"/>
          <w:lang w:val="fr-FR"/>
        </w:rPr>
        <w:t>19</w:t>
      </w:r>
      <w:r w:rsidRPr="00521A39">
        <w:rPr>
          <w:rFonts w:asciiTheme="minorHAnsi" w:hAnsiTheme="minorHAnsi" w:cstheme="minorHAnsi"/>
          <w:sz w:val="22"/>
          <w:szCs w:val="22"/>
          <w:lang w:val="fr-FR"/>
        </w:rPr>
        <w:t xml:space="preserve"> </w:t>
      </w:r>
      <w:r>
        <w:rPr>
          <w:rFonts w:asciiTheme="minorHAnsi" w:hAnsiTheme="minorHAnsi" w:cstheme="minorHAnsi"/>
          <w:sz w:val="22"/>
          <w:szCs w:val="22"/>
          <w:lang w:val="fr-FR"/>
        </w:rPr>
        <w:t>janvier</w:t>
      </w:r>
      <w:r w:rsidRPr="00521A39">
        <w:rPr>
          <w:rFonts w:asciiTheme="minorHAnsi" w:hAnsiTheme="minorHAnsi" w:cstheme="minorHAnsi"/>
          <w:sz w:val="22"/>
          <w:szCs w:val="22"/>
          <w:lang w:val="fr-FR"/>
        </w:rPr>
        <w:t xml:space="preserve"> 202</w:t>
      </w:r>
      <w:r>
        <w:rPr>
          <w:rFonts w:asciiTheme="minorHAnsi" w:hAnsiTheme="minorHAnsi" w:cstheme="minorHAnsi"/>
          <w:sz w:val="22"/>
          <w:szCs w:val="22"/>
          <w:lang w:val="fr-FR"/>
        </w:rPr>
        <w:t>6</w:t>
      </w:r>
      <w:r w:rsidRPr="00521A39">
        <w:rPr>
          <w:rFonts w:asciiTheme="minorHAnsi" w:hAnsiTheme="minorHAnsi" w:cstheme="minorHAnsi"/>
          <w:sz w:val="22"/>
          <w:szCs w:val="22"/>
          <w:lang w:val="fr-FR"/>
        </w:rPr>
        <w:t>.</w:t>
      </w:r>
    </w:p>
    <w:p w14:paraId="6855C662" w14:textId="77777777" w:rsidR="00C13206" w:rsidRPr="00521A39" w:rsidRDefault="00C13206" w:rsidP="00C13206">
      <w:pPr>
        <w:pStyle w:val="BodyText"/>
        <w:spacing w:before="3"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Le nombre de participant à la formation est de 20 personnes </w:t>
      </w:r>
    </w:p>
    <w:p w14:paraId="3DA89004" w14:textId="77777777" w:rsidR="00C13206" w:rsidRDefault="00C13206" w:rsidP="00C13206">
      <w:pPr>
        <w:pStyle w:val="BodyText"/>
        <w:spacing w:before="3" w:line="276" w:lineRule="auto"/>
        <w:jc w:val="both"/>
        <w:rPr>
          <w:rFonts w:asciiTheme="minorHAnsi" w:hAnsiTheme="minorHAnsi" w:cstheme="minorHAnsi"/>
          <w:sz w:val="22"/>
          <w:szCs w:val="22"/>
          <w:lang w:val="fr-FR"/>
        </w:rPr>
      </w:pPr>
    </w:p>
    <w:p w14:paraId="06A9D14F" w14:textId="77777777" w:rsidR="00C13206" w:rsidRPr="00521A39" w:rsidRDefault="00C13206" w:rsidP="00C13206">
      <w:pPr>
        <w:pStyle w:val="BodyText"/>
        <w:spacing w:before="3" w:line="276" w:lineRule="auto"/>
        <w:jc w:val="both"/>
        <w:rPr>
          <w:rFonts w:asciiTheme="minorHAnsi" w:hAnsiTheme="minorHAnsi" w:cstheme="minorHAnsi"/>
          <w:sz w:val="22"/>
          <w:szCs w:val="22"/>
          <w:lang w:val="fr-FR"/>
        </w:rPr>
      </w:pPr>
      <w:r w:rsidRPr="00521A39">
        <w:rPr>
          <w:rFonts w:asciiTheme="minorHAnsi" w:hAnsiTheme="minorHAnsi" w:cstheme="minorHAnsi"/>
          <w:sz w:val="22"/>
          <w:szCs w:val="22"/>
          <w:lang w:val="fr-FR"/>
        </w:rPr>
        <w:t xml:space="preserve">Le/la consultant(e) </w:t>
      </w:r>
      <w:r>
        <w:rPr>
          <w:rFonts w:asciiTheme="minorHAnsi" w:hAnsiTheme="minorHAnsi" w:cstheme="minorHAnsi"/>
          <w:sz w:val="22"/>
          <w:szCs w:val="22"/>
          <w:lang w:val="fr-FR"/>
        </w:rPr>
        <w:t xml:space="preserve">ou le Cabinet </w:t>
      </w:r>
      <w:r w:rsidRPr="00521A39">
        <w:rPr>
          <w:rFonts w:asciiTheme="minorHAnsi" w:hAnsiTheme="minorHAnsi" w:cstheme="minorHAnsi"/>
          <w:sz w:val="22"/>
          <w:szCs w:val="22"/>
          <w:lang w:val="fr-FR"/>
        </w:rPr>
        <w:t xml:space="preserve">travaillera sous la supervision du </w:t>
      </w:r>
      <w:r>
        <w:rPr>
          <w:rFonts w:asciiTheme="minorHAnsi" w:hAnsiTheme="minorHAnsi" w:cstheme="minorHAnsi"/>
          <w:sz w:val="22"/>
          <w:szCs w:val="22"/>
          <w:lang w:val="fr-FR"/>
        </w:rPr>
        <w:t>coordinateur du PGLR+</w:t>
      </w:r>
      <w:r w:rsidRPr="00521A39">
        <w:rPr>
          <w:rFonts w:asciiTheme="minorHAnsi" w:hAnsiTheme="minorHAnsi" w:cstheme="minorHAnsi"/>
          <w:sz w:val="22"/>
          <w:szCs w:val="22"/>
          <w:lang w:val="fr-FR"/>
        </w:rPr>
        <w:t>.</w:t>
      </w:r>
    </w:p>
    <w:p w14:paraId="629FFDCF" w14:textId="4A57AD41" w:rsidR="00E319D6" w:rsidRPr="008E49A5" w:rsidRDefault="007B23F1" w:rsidP="00D627B5">
      <w:pPr>
        <w:pStyle w:val="Heading1"/>
        <w:rPr>
          <w:lang w:val="fr-FR"/>
        </w:rPr>
      </w:pPr>
      <w:r w:rsidRPr="008E49A5">
        <w:rPr>
          <w:lang w:val="fr-FR"/>
        </w:rPr>
        <w:t>Dossier de l’offre</w:t>
      </w:r>
    </w:p>
    <w:p w14:paraId="2B9A10A8" w14:textId="4D7C0BCE" w:rsidR="007B23F1" w:rsidRPr="008E49A5" w:rsidRDefault="007B23F1" w:rsidP="003A1E28">
      <w:pPr>
        <w:spacing w:line="276" w:lineRule="auto"/>
        <w:jc w:val="both"/>
        <w:rPr>
          <w:sz w:val="22"/>
          <w:szCs w:val="22"/>
          <w:lang w:val="fr-FR"/>
        </w:rPr>
      </w:pPr>
      <w:r w:rsidRPr="008E49A5">
        <w:rPr>
          <w:sz w:val="22"/>
          <w:szCs w:val="22"/>
          <w:lang w:val="fr-FR"/>
        </w:rPr>
        <w:t xml:space="preserve">Le dossier de l’offre doit contenir une lettre de soumission, une offre technique indiquant la compréhension de l’appel à candidature, </w:t>
      </w:r>
      <w:r w:rsidR="008D4B9C">
        <w:rPr>
          <w:sz w:val="22"/>
          <w:szCs w:val="22"/>
          <w:lang w:val="fr-FR"/>
        </w:rPr>
        <w:t>la méthodologie, le calendrier d’exécution</w:t>
      </w:r>
      <w:r w:rsidRPr="008E49A5">
        <w:rPr>
          <w:sz w:val="22"/>
          <w:szCs w:val="22"/>
          <w:lang w:val="fr-FR"/>
        </w:rPr>
        <w:t>, des échantillons des supports demandés et, une offre financière.</w:t>
      </w:r>
    </w:p>
    <w:p w14:paraId="507DBFA4" w14:textId="77777777" w:rsidR="007B23F1" w:rsidRPr="008E49A5" w:rsidRDefault="007B23F1" w:rsidP="003A1E28">
      <w:pPr>
        <w:spacing w:line="276" w:lineRule="auto"/>
        <w:jc w:val="both"/>
        <w:rPr>
          <w:sz w:val="22"/>
          <w:szCs w:val="22"/>
          <w:lang w:val="fr-FR"/>
        </w:rPr>
      </w:pPr>
      <w:r w:rsidRPr="008E49A5">
        <w:rPr>
          <w:sz w:val="22"/>
          <w:szCs w:val="22"/>
          <w:lang w:val="fr-FR"/>
        </w:rPr>
        <w:t>Les offres doivent aussi contenir les éléments administratifs suivants :</w:t>
      </w:r>
    </w:p>
    <w:p w14:paraId="032DE2C7" w14:textId="7F9A66C8" w:rsidR="007B23F1" w:rsidRPr="008E49A5" w:rsidRDefault="007B23F1" w:rsidP="00E00097">
      <w:pPr>
        <w:pStyle w:val="ListParagraph"/>
        <w:numPr>
          <w:ilvl w:val="0"/>
          <w:numId w:val="7"/>
        </w:numPr>
        <w:spacing w:line="276" w:lineRule="auto"/>
        <w:jc w:val="both"/>
        <w:rPr>
          <w:rFonts w:asciiTheme="minorHAnsi" w:hAnsiTheme="minorHAnsi" w:cstheme="minorHAnsi"/>
          <w:sz w:val="22"/>
          <w:szCs w:val="22"/>
          <w:lang w:val="fr-FR"/>
        </w:rPr>
      </w:pPr>
      <w:r w:rsidRPr="008E49A5">
        <w:rPr>
          <w:rFonts w:asciiTheme="minorHAnsi" w:hAnsiTheme="minorHAnsi" w:cstheme="minorHAnsi"/>
          <w:sz w:val="22"/>
          <w:szCs w:val="22"/>
          <w:lang w:val="fr-FR"/>
        </w:rPr>
        <w:t>Numéro d’Identification Fiscal,</w:t>
      </w:r>
    </w:p>
    <w:p w14:paraId="1261AADC" w14:textId="23724877" w:rsidR="007B23F1" w:rsidRPr="008E49A5" w:rsidRDefault="007B23F1" w:rsidP="00E00097">
      <w:pPr>
        <w:pStyle w:val="ListParagraph"/>
        <w:numPr>
          <w:ilvl w:val="0"/>
          <w:numId w:val="7"/>
        </w:numPr>
        <w:spacing w:line="276" w:lineRule="auto"/>
        <w:jc w:val="both"/>
        <w:rPr>
          <w:rFonts w:asciiTheme="minorHAnsi" w:hAnsiTheme="minorHAnsi" w:cstheme="minorHAnsi"/>
          <w:sz w:val="22"/>
          <w:szCs w:val="22"/>
          <w:lang w:val="fr-FR"/>
        </w:rPr>
      </w:pPr>
      <w:r w:rsidRPr="008E49A5">
        <w:rPr>
          <w:rFonts w:asciiTheme="minorHAnsi" w:hAnsiTheme="minorHAnsi" w:cstheme="minorHAnsi"/>
          <w:sz w:val="22"/>
          <w:szCs w:val="22"/>
          <w:lang w:val="fr-FR"/>
        </w:rPr>
        <w:t>Attestation de Situation Fiscale (ASF),</w:t>
      </w:r>
    </w:p>
    <w:p w14:paraId="47E4871A" w14:textId="6E63FDFA" w:rsidR="007B23F1" w:rsidRPr="008E49A5" w:rsidRDefault="007B23F1" w:rsidP="00E00097">
      <w:pPr>
        <w:pStyle w:val="ListParagraph"/>
        <w:numPr>
          <w:ilvl w:val="0"/>
          <w:numId w:val="7"/>
        </w:numPr>
        <w:spacing w:line="276" w:lineRule="auto"/>
        <w:jc w:val="both"/>
        <w:rPr>
          <w:rFonts w:asciiTheme="minorHAnsi" w:hAnsiTheme="minorHAnsi" w:cstheme="minorHAnsi"/>
          <w:sz w:val="22"/>
          <w:szCs w:val="22"/>
          <w:lang w:val="fr-FR"/>
        </w:rPr>
      </w:pPr>
      <w:r w:rsidRPr="008E49A5">
        <w:rPr>
          <w:rFonts w:asciiTheme="minorHAnsi" w:hAnsiTheme="minorHAnsi" w:cstheme="minorHAnsi"/>
          <w:sz w:val="22"/>
          <w:szCs w:val="22"/>
          <w:lang w:val="fr-FR"/>
        </w:rPr>
        <w:t>Relevé d’identité bancaire (RIB)</w:t>
      </w:r>
      <w:r w:rsidR="000900D4">
        <w:rPr>
          <w:rFonts w:asciiTheme="minorHAnsi" w:hAnsiTheme="minorHAnsi" w:cstheme="minorHAnsi"/>
          <w:sz w:val="22"/>
          <w:szCs w:val="22"/>
          <w:lang w:val="fr-FR"/>
        </w:rPr>
        <w:t>,</w:t>
      </w:r>
    </w:p>
    <w:p w14:paraId="251FBE5F" w14:textId="372E539B" w:rsidR="007B23F1" w:rsidRPr="008E49A5" w:rsidRDefault="007B23F1" w:rsidP="00E00097">
      <w:pPr>
        <w:pStyle w:val="ListParagraph"/>
        <w:numPr>
          <w:ilvl w:val="0"/>
          <w:numId w:val="7"/>
        </w:numPr>
        <w:spacing w:after="240" w:line="276" w:lineRule="auto"/>
        <w:jc w:val="both"/>
        <w:rPr>
          <w:rFonts w:asciiTheme="minorHAnsi" w:hAnsiTheme="minorHAnsi" w:cstheme="minorHAnsi"/>
          <w:sz w:val="22"/>
          <w:szCs w:val="22"/>
          <w:lang w:val="fr-FR"/>
        </w:rPr>
      </w:pPr>
      <w:r w:rsidRPr="008E49A5">
        <w:rPr>
          <w:rFonts w:asciiTheme="minorHAnsi" w:hAnsiTheme="minorHAnsi" w:cstheme="minorHAnsi"/>
          <w:sz w:val="22"/>
          <w:szCs w:val="22"/>
          <w:lang w:val="fr-FR"/>
        </w:rPr>
        <w:t>Copie du Registre de Commerce.</w:t>
      </w:r>
    </w:p>
    <w:p w14:paraId="500E5BD1" w14:textId="4DD718C1" w:rsidR="00D627B5" w:rsidRPr="008E49A5" w:rsidRDefault="007B23F1" w:rsidP="003A1E28">
      <w:pPr>
        <w:spacing w:line="276" w:lineRule="auto"/>
        <w:jc w:val="both"/>
        <w:rPr>
          <w:sz w:val="22"/>
          <w:szCs w:val="22"/>
          <w:lang w:val="fr-FR"/>
        </w:rPr>
      </w:pPr>
      <w:r w:rsidRPr="008E49A5">
        <w:rPr>
          <w:b/>
          <w:bCs/>
          <w:sz w:val="22"/>
          <w:szCs w:val="22"/>
          <w:lang w:val="fr-FR"/>
        </w:rPr>
        <w:t>Critères d’évaluation :</w:t>
      </w:r>
      <w:r w:rsidRPr="008E49A5">
        <w:rPr>
          <w:sz w:val="22"/>
          <w:szCs w:val="22"/>
          <w:lang w:val="fr-FR"/>
        </w:rPr>
        <w:t xml:space="preserve"> le contrat sera attribué au soumissionnaire dont l’offre respecte les instructions du présent Appel à candidature, remplissant les conditions d’éligibilité et qui est jugée être la meilleure offre sur une base techniquement et financièrement acceptable.</w:t>
      </w:r>
    </w:p>
    <w:tbl>
      <w:tblPr>
        <w:tblW w:w="5000" w:type="pct"/>
        <w:tblBorders>
          <w:top w:val="single" w:sz="8" w:space="0" w:color="375380" w:themeColor="text2"/>
          <w:left w:val="single" w:sz="8" w:space="0" w:color="375380" w:themeColor="text2"/>
          <w:bottom w:val="single" w:sz="8" w:space="0" w:color="375380" w:themeColor="text2"/>
          <w:right w:val="single" w:sz="8" w:space="0" w:color="375380" w:themeColor="text2"/>
          <w:insideH w:val="single" w:sz="8" w:space="0" w:color="375380" w:themeColor="text2"/>
          <w:insideV w:val="single" w:sz="8" w:space="0" w:color="375380" w:themeColor="text2"/>
        </w:tblBorders>
        <w:tblCellMar>
          <w:left w:w="0" w:type="dxa"/>
          <w:right w:w="0" w:type="dxa"/>
        </w:tblCellMar>
        <w:tblLook w:val="04A0" w:firstRow="1" w:lastRow="0" w:firstColumn="1" w:lastColumn="0" w:noHBand="0" w:noVBand="1"/>
      </w:tblPr>
      <w:tblGrid>
        <w:gridCol w:w="6447"/>
        <w:gridCol w:w="2382"/>
      </w:tblGrid>
      <w:tr w:rsidR="002623EB" w:rsidRPr="008E49A5" w14:paraId="754B74FD" w14:textId="77777777" w:rsidTr="002623EB">
        <w:tc>
          <w:tcPr>
            <w:tcW w:w="3651" w:type="pct"/>
            <w:shd w:val="clear" w:color="auto" w:fill="375380" w:themeFill="text2"/>
            <w:tcMar>
              <w:top w:w="0" w:type="dxa"/>
              <w:left w:w="108" w:type="dxa"/>
              <w:bottom w:w="0" w:type="dxa"/>
              <w:right w:w="108" w:type="dxa"/>
            </w:tcMar>
            <w:vAlign w:val="center"/>
          </w:tcPr>
          <w:p w14:paraId="51E54DCC" w14:textId="5250DDE5" w:rsidR="002623EB" w:rsidRPr="008E49A5" w:rsidRDefault="002623EB" w:rsidP="002623EB">
            <w:pPr>
              <w:rPr>
                <w:b/>
                <w:bCs/>
                <w:noProof/>
                <w:color w:val="FFFFFF" w:themeColor="background1"/>
                <w:lang w:val="fr-FR"/>
              </w:rPr>
            </w:pPr>
            <w:r w:rsidRPr="008E49A5">
              <w:rPr>
                <w:b/>
                <w:bCs/>
                <w:noProof/>
                <w:color w:val="FFFFFF" w:themeColor="background1"/>
                <w:lang w:val="fr-FR"/>
              </w:rPr>
              <w:t>Crit</w:t>
            </w:r>
            <w:r w:rsidR="007B23F1" w:rsidRPr="008E49A5">
              <w:rPr>
                <w:b/>
                <w:bCs/>
                <w:noProof/>
                <w:color w:val="FFFFFF" w:themeColor="background1"/>
                <w:lang w:val="fr-FR"/>
              </w:rPr>
              <w:t>ères</w:t>
            </w:r>
          </w:p>
        </w:tc>
        <w:tc>
          <w:tcPr>
            <w:tcW w:w="1349" w:type="pct"/>
            <w:shd w:val="clear" w:color="auto" w:fill="375380" w:themeFill="text2"/>
            <w:tcMar>
              <w:top w:w="0" w:type="dxa"/>
              <w:left w:w="108" w:type="dxa"/>
              <w:bottom w:w="0" w:type="dxa"/>
              <w:right w:w="108" w:type="dxa"/>
            </w:tcMar>
            <w:vAlign w:val="center"/>
          </w:tcPr>
          <w:p w14:paraId="64E66206" w14:textId="2CAADF1B" w:rsidR="002623EB" w:rsidRPr="008E49A5" w:rsidRDefault="007B23F1" w:rsidP="002623EB">
            <w:pPr>
              <w:ind w:left="493"/>
              <w:jc w:val="both"/>
              <w:rPr>
                <w:b/>
                <w:bCs/>
                <w:noProof/>
                <w:color w:val="FFFFFF" w:themeColor="background1"/>
                <w:lang w:val="fr-FR"/>
              </w:rPr>
            </w:pPr>
            <w:r w:rsidRPr="008E49A5">
              <w:rPr>
                <w:b/>
                <w:bCs/>
                <w:noProof/>
                <w:color w:val="FFFFFF" w:themeColor="background1"/>
                <w:lang w:val="fr-FR"/>
              </w:rPr>
              <w:t>Score maximum</w:t>
            </w:r>
          </w:p>
        </w:tc>
      </w:tr>
      <w:tr w:rsidR="007B23F1" w:rsidRPr="008E49A5" w14:paraId="106F6E83" w14:textId="77777777" w:rsidTr="00256093">
        <w:tc>
          <w:tcPr>
            <w:tcW w:w="3651" w:type="pct"/>
            <w:tcMar>
              <w:top w:w="0" w:type="dxa"/>
              <w:left w:w="108" w:type="dxa"/>
              <w:bottom w:w="0" w:type="dxa"/>
              <w:right w:w="108" w:type="dxa"/>
            </w:tcMar>
          </w:tcPr>
          <w:p w14:paraId="6AD414EE" w14:textId="34061095" w:rsidR="007B23F1" w:rsidRPr="008E49A5" w:rsidRDefault="007B23F1" w:rsidP="007B23F1">
            <w:pPr>
              <w:rPr>
                <w:lang w:val="fr-FR"/>
              </w:rPr>
            </w:pPr>
            <w:r w:rsidRPr="008E49A5">
              <w:rPr>
                <w:lang w:val="fr-FR"/>
              </w:rPr>
              <w:t>APPROCHE TECHNIQUE ET METHODOLOGIQUE</w:t>
            </w:r>
          </w:p>
        </w:tc>
        <w:tc>
          <w:tcPr>
            <w:tcW w:w="1349" w:type="pct"/>
            <w:tcMar>
              <w:top w:w="0" w:type="dxa"/>
              <w:left w:w="108" w:type="dxa"/>
              <w:bottom w:w="0" w:type="dxa"/>
              <w:right w:w="108" w:type="dxa"/>
            </w:tcMar>
            <w:hideMark/>
          </w:tcPr>
          <w:p w14:paraId="6533D496" w14:textId="1E7CAFDF" w:rsidR="007B23F1" w:rsidRPr="008E49A5" w:rsidRDefault="007B23F1" w:rsidP="007B23F1">
            <w:pPr>
              <w:jc w:val="center"/>
              <w:rPr>
                <w:lang w:val="fr-FR"/>
              </w:rPr>
            </w:pPr>
            <w:r w:rsidRPr="008E49A5">
              <w:rPr>
                <w:lang w:val="fr-FR"/>
              </w:rPr>
              <w:t>30</w:t>
            </w:r>
          </w:p>
        </w:tc>
      </w:tr>
      <w:tr w:rsidR="007B23F1" w:rsidRPr="008E49A5" w14:paraId="3FA81948" w14:textId="77777777" w:rsidTr="00256093">
        <w:tc>
          <w:tcPr>
            <w:tcW w:w="3651" w:type="pct"/>
            <w:tcMar>
              <w:top w:w="0" w:type="dxa"/>
              <w:left w:w="108" w:type="dxa"/>
              <w:bottom w:w="0" w:type="dxa"/>
              <w:right w:w="108" w:type="dxa"/>
            </w:tcMar>
          </w:tcPr>
          <w:p w14:paraId="1DEF6046" w14:textId="10C1C8AF" w:rsidR="007B23F1" w:rsidRPr="008E49A5" w:rsidRDefault="007B23F1" w:rsidP="007B23F1">
            <w:pPr>
              <w:rPr>
                <w:u w:val="single"/>
                <w:lang w:val="fr-FR"/>
              </w:rPr>
            </w:pPr>
            <w:r w:rsidRPr="008E49A5">
              <w:rPr>
                <w:lang w:val="fr-FR"/>
              </w:rPr>
              <w:t>EXPÉRIENCE DANS LE DOMAINE (</w:t>
            </w:r>
            <w:r w:rsidR="003D7B4C">
              <w:rPr>
                <w:lang w:val="fr-FR"/>
              </w:rPr>
              <w:t xml:space="preserve">Rapports, </w:t>
            </w:r>
            <w:r w:rsidRPr="008E49A5">
              <w:rPr>
                <w:lang w:val="fr-FR"/>
              </w:rPr>
              <w:t xml:space="preserve">extrait vidéo et photo déjà réalisées avec au moins </w:t>
            </w:r>
            <w:r w:rsidR="001603F7">
              <w:rPr>
                <w:lang w:val="fr-FR"/>
              </w:rPr>
              <w:t xml:space="preserve">3 missions similaires </w:t>
            </w:r>
            <w:r w:rsidRPr="008E49A5">
              <w:rPr>
                <w:lang w:val="fr-FR"/>
              </w:rPr>
              <w:t>et attestation de bonne exécution)</w:t>
            </w:r>
          </w:p>
        </w:tc>
        <w:tc>
          <w:tcPr>
            <w:tcW w:w="1349" w:type="pct"/>
            <w:tcMar>
              <w:top w:w="0" w:type="dxa"/>
              <w:left w:w="108" w:type="dxa"/>
              <w:bottom w:w="0" w:type="dxa"/>
              <w:right w:w="108" w:type="dxa"/>
            </w:tcMar>
          </w:tcPr>
          <w:p w14:paraId="034D1841" w14:textId="69C4B6F1" w:rsidR="007B23F1" w:rsidRPr="008E49A5" w:rsidRDefault="003D7B4C" w:rsidP="007B23F1">
            <w:pPr>
              <w:jc w:val="center"/>
              <w:rPr>
                <w:lang w:val="fr-FR"/>
              </w:rPr>
            </w:pPr>
            <w:r>
              <w:rPr>
                <w:lang w:val="fr-FR"/>
              </w:rPr>
              <w:t>2</w:t>
            </w:r>
            <w:r w:rsidR="007B23F1" w:rsidRPr="008E49A5">
              <w:rPr>
                <w:lang w:val="fr-FR"/>
              </w:rPr>
              <w:t>0</w:t>
            </w:r>
          </w:p>
        </w:tc>
      </w:tr>
      <w:tr w:rsidR="003D7B4C" w:rsidRPr="008E49A5" w14:paraId="1660BEF7" w14:textId="77777777" w:rsidTr="00256093">
        <w:tc>
          <w:tcPr>
            <w:tcW w:w="3651" w:type="pct"/>
            <w:tcMar>
              <w:top w:w="0" w:type="dxa"/>
              <w:left w:w="108" w:type="dxa"/>
              <w:bottom w:w="0" w:type="dxa"/>
              <w:right w:w="108" w:type="dxa"/>
            </w:tcMar>
          </w:tcPr>
          <w:p w14:paraId="259C2ACD" w14:textId="6D45BD7E" w:rsidR="003D7B4C" w:rsidRPr="008E49A5" w:rsidRDefault="003D7B4C" w:rsidP="007B23F1">
            <w:pPr>
              <w:rPr>
                <w:lang w:val="fr-FR"/>
              </w:rPr>
            </w:pPr>
            <w:r w:rsidRPr="003D7B4C">
              <w:t>QUALITÉ DES LIVRABLES PROPOSÉS</w:t>
            </w:r>
          </w:p>
        </w:tc>
        <w:tc>
          <w:tcPr>
            <w:tcW w:w="1349" w:type="pct"/>
            <w:tcMar>
              <w:top w:w="0" w:type="dxa"/>
              <w:left w:w="108" w:type="dxa"/>
              <w:bottom w:w="0" w:type="dxa"/>
              <w:right w:w="108" w:type="dxa"/>
            </w:tcMar>
          </w:tcPr>
          <w:p w14:paraId="7322BAAF" w14:textId="7807FD93" w:rsidR="003D7B4C" w:rsidRPr="008E49A5" w:rsidRDefault="003D7B4C" w:rsidP="007B23F1">
            <w:pPr>
              <w:jc w:val="center"/>
              <w:rPr>
                <w:lang w:val="fr-FR"/>
              </w:rPr>
            </w:pPr>
            <w:r>
              <w:rPr>
                <w:lang w:val="fr-FR"/>
              </w:rPr>
              <w:t>20</w:t>
            </w:r>
          </w:p>
        </w:tc>
      </w:tr>
      <w:tr w:rsidR="007B23F1" w:rsidRPr="008E49A5" w14:paraId="32115E90" w14:textId="77777777" w:rsidTr="00256093">
        <w:tc>
          <w:tcPr>
            <w:tcW w:w="3651" w:type="pct"/>
            <w:tcMar>
              <w:top w:w="0" w:type="dxa"/>
              <w:left w:w="108" w:type="dxa"/>
              <w:bottom w:w="0" w:type="dxa"/>
              <w:right w:w="108" w:type="dxa"/>
            </w:tcMar>
          </w:tcPr>
          <w:p w14:paraId="2EDEA452" w14:textId="27502AE2" w:rsidR="007B23F1" w:rsidRPr="008E49A5" w:rsidRDefault="003D7B4C" w:rsidP="007B23F1">
            <w:pPr>
              <w:rPr>
                <w:u w:val="single"/>
                <w:lang w:val="fr-FR"/>
              </w:rPr>
            </w:pPr>
            <w:r w:rsidRPr="003D7B4C">
              <w:t>OFFRE FINANCIERE</w:t>
            </w:r>
            <w:r>
              <w:t xml:space="preserve"> </w:t>
            </w:r>
            <w:r w:rsidR="008D4B9C">
              <w:t>COMPETITIVE</w:t>
            </w:r>
          </w:p>
        </w:tc>
        <w:tc>
          <w:tcPr>
            <w:tcW w:w="1349" w:type="pct"/>
            <w:tcMar>
              <w:top w:w="0" w:type="dxa"/>
              <w:left w:w="108" w:type="dxa"/>
              <w:bottom w:w="0" w:type="dxa"/>
              <w:right w:w="108" w:type="dxa"/>
            </w:tcMar>
          </w:tcPr>
          <w:p w14:paraId="2E529B02" w14:textId="136065AE" w:rsidR="007B23F1" w:rsidRPr="008E49A5" w:rsidRDefault="007B23F1" w:rsidP="007B23F1">
            <w:pPr>
              <w:jc w:val="center"/>
              <w:rPr>
                <w:lang w:val="fr-FR"/>
              </w:rPr>
            </w:pPr>
            <w:r w:rsidRPr="008E49A5">
              <w:rPr>
                <w:lang w:val="fr-FR"/>
              </w:rPr>
              <w:t>30</w:t>
            </w:r>
          </w:p>
        </w:tc>
      </w:tr>
      <w:tr w:rsidR="007B23F1" w:rsidRPr="008E49A5" w14:paraId="325CA12F" w14:textId="77777777" w:rsidTr="00CB6B4C">
        <w:tc>
          <w:tcPr>
            <w:tcW w:w="3651" w:type="pct"/>
            <w:tcMar>
              <w:top w:w="0" w:type="dxa"/>
              <w:left w:w="108" w:type="dxa"/>
              <w:bottom w:w="0" w:type="dxa"/>
              <w:right w:w="108" w:type="dxa"/>
            </w:tcMar>
            <w:vAlign w:val="center"/>
          </w:tcPr>
          <w:p w14:paraId="5F65950D" w14:textId="382E2677" w:rsidR="007B23F1" w:rsidRPr="008E49A5" w:rsidRDefault="007B23F1" w:rsidP="007B23F1">
            <w:pPr>
              <w:rPr>
                <w:lang w:val="fr-FR"/>
              </w:rPr>
            </w:pPr>
            <w:r w:rsidRPr="008E49A5">
              <w:rPr>
                <w:lang w:val="fr-FR"/>
              </w:rPr>
              <w:t>TOTAL</w:t>
            </w:r>
          </w:p>
        </w:tc>
        <w:tc>
          <w:tcPr>
            <w:tcW w:w="1349" w:type="pct"/>
            <w:tcMar>
              <w:top w:w="0" w:type="dxa"/>
              <w:left w:w="108" w:type="dxa"/>
              <w:bottom w:w="0" w:type="dxa"/>
              <w:right w:w="108" w:type="dxa"/>
            </w:tcMar>
            <w:hideMark/>
          </w:tcPr>
          <w:p w14:paraId="5713EC49" w14:textId="7953E4E7" w:rsidR="007B23F1" w:rsidRPr="008E49A5" w:rsidRDefault="007B23F1" w:rsidP="007B23F1">
            <w:pPr>
              <w:jc w:val="center"/>
              <w:rPr>
                <w:lang w:val="fr-FR"/>
              </w:rPr>
            </w:pPr>
            <w:r w:rsidRPr="008E49A5">
              <w:rPr>
                <w:lang w:val="fr-FR"/>
              </w:rPr>
              <w:t>100</w:t>
            </w:r>
          </w:p>
        </w:tc>
      </w:tr>
    </w:tbl>
    <w:p w14:paraId="7B1725CC" w14:textId="77777777" w:rsidR="007B23F1" w:rsidRPr="008E49A5" w:rsidRDefault="007B23F1" w:rsidP="007B23F1">
      <w:pPr>
        <w:spacing w:line="276" w:lineRule="auto"/>
        <w:jc w:val="both"/>
        <w:rPr>
          <w:rFonts w:cstheme="minorHAnsi"/>
          <w:sz w:val="22"/>
          <w:szCs w:val="22"/>
          <w:lang w:val="fr-FR"/>
        </w:rPr>
      </w:pPr>
      <w:r w:rsidRPr="008E49A5">
        <w:rPr>
          <w:rFonts w:cstheme="minorHAnsi"/>
          <w:sz w:val="22"/>
          <w:szCs w:val="22"/>
          <w:lang w:val="fr-FR"/>
        </w:rPr>
        <w:t>NB : Toute offre dont le score technique est inférieur à 70 points sera éliminée.</w:t>
      </w:r>
    </w:p>
    <w:p w14:paraId="4211F680" w14:textId="77777777" w:rsidR="007B23F1" w:rsidRPr="008E49A5" w:rsidRDefault="007B23F1" w:rsidP="007B23F1">
      <w:pPr>
        <w:spacing w:line="276" w:lineRule="auto"/>
        <w:jc w:val="both"/>
        <w:rPr>
          <w:rFonts w:cstheme="minorHAnsi"/>
          <w:sz w:val="22"/>
          <w:szCs w:val="22"/>
          <w:lang w:val="fr-FR"/>
        </w:rPr>
      </w:pPr>
      <w:r w:rsidRPr="008E49A5">
        <w:rPr>
          <w:rFonts w:cstheme="minorHAnsi"/>
          <w:sz w:val="22"/>
          <w:szCs w:val="22"/>
          <w:lang w:val="fr-FR"/>
        </w:rPr>
        <w:t xml:space="preserve">Les notes techniques sont pondérées à 70%. Les scores financiers sont pondérés à 30%. </w:t>
      </w:r>
    </w:p>
    <w:p w14:paraId="462A5BD9" w14:textId="77777777" w:rsidR="007B23F1" w:rsidRPr="008E49A5" w:rsidRDefault="007B23F1" w:rsidP="007B23F1">
      <w:pPr>
        <w:spacing w:line="276" w:lineRule="auto"/>
        <w:jc w:val="both"/>
        <w:rPr>
          <w:rFonts w:cstheme="minorHAnsi"/>
          <w:sz w:val="22"/>
          <w:szCs w:val="22"/>
          <w:lang w:val="fr-FR"/>
        </w:rPr>
      </w:pPr>
      <w:r w:rsidRPr="008E49A5">
        <w:rPr>
          <w:rFonts w:cstheme="minorHAnsi"/>
          <w:sz w:val="22"/>
          <w:szCs w:val="22"/>
          <w:lang w:val="fr-FR"/>
        </w:rPr>
        <w:lastRenderedPageBreak/>
        <w:t>L'évaluation financière sera effectuée pour les propositions qui passent l'évaluation technique. Le prix le plus bas se voit attribuer le maximum de points et tous les autres soumissionnaires sont classés au prorata de l'offre la plus basse sur la base suivante :</w:t>
      </w:r>
    </w:p>
    <w:p w14:paraId="62127B62" w14:textId="77777777" w:rsidR="007B23F1" w:rsidRPr="008E49A5" w:rsidRDefault="007B23F1" w:rsidP="007B23F1">
      <w:pPr>
        <w:spacing w:line="276" w:lineRule="auto"/>
        <w:jc w:val="center"/>
        <w:rPr>
          <w:rFonts w:eastAsia="Calibri" w:cstheme="minorHAnsi"/>
          <w:sz w:val="22"/>
          <w:szCs w:val="22"/>
          <w:lang w:val="fr-FR"/>
        </w:rPr>
      </w:pPr>
      <w:r w:rsidRPr="008E49A5">
        <w:rPr>
          <w:rFonts w:eastAsia="Calibri" w:cstheme="minorHAnsi"/>
          <w:sz w:val="22"/>
          <w:szCs w:val="22"/>
          <w:u w:val="single"/>
          <w:lang w:val="fr-FR"/>
        </w:rPr>
        <w:t>Coût du soumissionnaire ayant proposé le coût le plus bas</w:t>
      </w:r>
      <w:r w:rsidRPr="008E49A5">
        <w:rPr>
          <w:rFonts w:eastAsia="Calibri" w:cstheme="minorHAnsi"/>
          <w:sz w:val="22"/>
          <w:szCs w:val="22"/>
          <w:lang w:val="fr-FR"/>
        </w:rPr>
        <w:t>*100</w:t>
      </w:r>
    </w:p>
    <w:p w14:paraId="7A14397D" w14:textId="77777777" w:rsidR="007B23F1" w:rsidRPr="008E49A5" w:rsidRDefault="007B23F1" w:rsidP="007B23F1">
      <w:pPr>
        <w:spacing w:line="276" w:lineRule="auto"/>
        <w:jc w:val="center"/>
        <w:rPr>
          <w:rFonts w:eastAsia="Calibri" w:cstheme="minorHAnsi"/>
          <w:sz w:val="22"/>
          <w:szCs w:val="22"/>
          <w:lang w:val="fr-FR"/>
        </w:rPr>
      </w:pPr>
      <w:r w:rsidRPr="008E49A5">
        <w:rPr>
          <w:rFonts w:eastAsia="Calibri" w:cstheme="minorHAnsi"/>
          <w:sz w:val="22"/>
          <w:szCs w:val="22"/>
          <w:lang w:val="fr-FR"/>
        </w:rPr>
        <w:t>Coût du soumissionnaire de l’offre considérée</w:t>
      </w:r>
    </w:p>
    <w:p w14:paraId="74EE56E9" w14:textId="77777777" w:rsidR="007B23F1" w:rsidRPr="008E49A5" w:rsidRDefault="007B23F1" w:rsidP="007B23F1">
      <w:pPr>
        <w:spacing w:line="276" w:lineRule="auto"/>
        <w:rPr>
          <w:rFonts w:cstheme="minorHAnsi"/>
          <w:i/>
          <w:sz w:val="22"/>
          <w:szCs w:val="22"/>
          <w:lang w:val="fr-FR"/>
        </w:rPr>
      </w:pPr>
      <w:r w:rsidRPr="008E49A5">
        <w:rPr>
          <w:rFonts w:cstheme="minorHAnsi"/>
          <w:i/>
          <w:sz w:val="22"/>
          <w:szCs w:val="22"/>
          <w:lang w:val="fr-FR"/>
        </w:rPr>
        <w:t>100 = score du soumissionnaire (coût le plus bas)</w:t>
      </w:r>
    </w:p>
    <w:p w14:paraId="76891510" w14:textId="6758FADD" w:rsidR="007B23F1" w:rsidRPr="008E49A5" w:rsidRDefault="007B23F1" w:rsidP="007B23F1">
      <w:pPr>
        <w:spacing w:line="276" w:lineRule="auto"/>
        <w:rPr>
          <w:rFonts w:cstheme="minorHAnsi"/>
          <w:sz w:val="22"/>
          <w:szCs w:val="22"/>
          <w:lang w:val="fr-FR"/>
        </w:rPr>
      </w:pPr>
      <w:r w:rsidRPr="008E49A5">
        <w:rPr>
          <w:rFonts w:cstheme="minorHAnsi"/>
          <w:sz w:val="22"/>
          <w:szCs w:val="22"/>
          <w:lang w:val="fr-FR"/>
        </w:rPr>
        <w:t xml:space="preserve">Les offres technique et financière doivent être transmises (en fichier séparé) par voie électronique </w:t>
      </w:r>
      <w:r w:rsidR="00C13206">
        <w:rPr>
          <w:rFonts w:cstheme="minorHAnsi"/>
          <w:sz w:val="22"/>
          <w:szCs w:val="22"/>
          <w:lang w:val="fr-FR"/>
        </w:rPr>
        <w:t xml:space="preserve">sur </w:t>
      </w:r>
      <w:hyperlink r:id="rId13" w:history="1">
        <w:r w:rsidR="00C13206" w:rsidRPr="003E073F">
          <w:rPr>
            <w:rStyle w:val="Hyperlink"/>
            <w:rFonts w:cstheme="minorHAnsi"/>
            <w:sz w:val="22"/>
            <w:szCs w:val="22"/>
            <w:lang w:val="fr-FR"/>
          </w:rPr>
          <w:t>https://jobs.smartrecruiters.com/SNV</w:t>
        </w:r>
      </w:hyperlink>
      <w:r w:rsidR="00C13206">
        <w:rPr>
          <w:rFonts w:cstheme="minorHAnsi"/>
          <w:sz w:val="22"/>
          <w:szCs w:val="22"/>
          <w:lang w:val="fr-FR"/>
        </w:rPr>
        <w:t xml:space="preserve"> </w:t>
      </w:r>
      <w:r w:rsidRPr="008E49A5">
        <w:rPr>
          <w:rFonts w:cstheme="minorHAnsi"/>
          <w:sz w:val="22"/>
          <w:szCs w:val="22"/>
          <w:lang w:val="fr-FR"/>
        </w:rPr>
        <w:t xml:space="preserve">en mettant copie </w:t>
      </w:r>
      <w:r w:rsidR="008B692E">
        <w:rPr>
          <w:lang w:val="fr-FR"/>
        </w:rPr>
        <w:t>Mr Freddy SAHINGUVU « </w:t>
      </w:r>
      <w:hyperlink r:id="rId14" w:history="1">
        <w:r w:rsidR="00E835D2" w:rsidRPr="003E073F">
          <w:rPr>
            <w:rStyle w:val="Hyperlink"/>
            <w:lang w:val="fr-FR"/>
          </w:rPr>
          <w:t>fsahinguvu@snv.org</w:t>
        </w:r>
      </w:hyperlink>
      <w:r w:rsidR="00E835D2">
        <w:rPr>
          <w:lang w:val="fr-FR"/>
        </w:rPr>
        <w:t xml:space="preserve"> »</w:t>
      </w:r>
      <w:r w:rsidR="00C2285E">
        <w:rPr>
          <w:lang w:val="fr-FR"/>
        </w:rPr>
        <w:t xml:space="preserve"> </w:t>
      </w:r>
      <w:r w:rsidRPr="008E49A5">
        <w:rPr>
          <w:rFonts w:cstheme="minorHAnsi"/>
          <w:sz w:val="22"/>
          <w:szCs w:val="22"/>
          <w:lang w:val="fr-FR"/>
        </w:rPr>
        <w:t xml:space="preserve">au plus tard </w:t>
      </w:r>
      <w:r w:rsidRPr="00E835D2">
        <w:rPr>
          <w:rFonts w:cstheme="minorHAnsi"/>
          <w:b/>
          <w:bCs/>
          <w:sz w:val="22"/>
          <w:szCs w:val="22"/>
          <w:lang w:val="fr-FR"/>
        </w:rPr>
        <w:t xml:space="preserve">le </w:t>
      </w:r>
      <w:r w:rsidR="00E835D2" w:rsidRPr="00E835D2">
        <w:rPr>
          <w:rFonts w:cstheme="minorHAnsi"/>
          <w:b/>
          <w:bCs/>
          <w:sz w:val="22"/>
          <w:szCs w:val="22"/>
          <w:lang w:val="fr-FR"/>
        </w:rPr>
        <w:t>vendredi 26 décembre</w:t>
      </w:r>
      <w:r w:rsidRPr="00E835D2">
        <w:rPr>
          <w:rFonts w:cstheme="minorHAnsi"/>
          <w:b/>
          <w:bCs/>
          <w:sz w:val="22"/>
          <w:szCs w:val="22"/>
          <w:lang w:val="fr-FR"/>
        </w:rPr>
        <w:t xml:space="preserve"> 2025 à 12 heures</w:t>
      </w:r>
      <w:r w:rsidRPr="008E49A5">
        <w:rPr>
          <w:rFonts w:cstheme="minorHAnsi"/>
          <w:b/>
          <w:bCs/>
          <w:sz w:val="22"/>
          <w:szCs w:val="22"/>
          <w:lang w:val="fr-FR"/>
        </w:rPr>
        <w:t xml:space="preserve">. </w:t>
      </w:r>
    </w:p>
    <w:p w14:paraId="03FA00BA" w14:textId="77777777" w:rsidR="007B23F1" w:rsidRPr="008E49A5" w:rsidRDefault="007B23F1" w:rsidP="007B23F1">
      <w:pPr>
        <w:spacing w:line="276" w:lineRule="auto"/>
        <w:rPr>
          <w:rFonts w:cstheme="minorHAnsi"/>
          <w:sz w:val="22"/>
          <w:szCs w:val="22"/>
          <w:lang w:val="fr-FR"/>
        </w:rPr>
      </w:pPr>
      <w:r w:rsidRPr="008E49A5">
        <w:rPr>
          <w:rFonts w:cstheme="minorHAnsi"/>
          <w:sz w:val="22"/>
          <w:szCs w:val="22"/>
          <w:lang w:val="fr-FR"/>
        </w:rPr>
        <w:t>Note : Seules les candidatures présélectionnées, seront contactées.</w:t>
      </w:r>
    </w:p>
    <w:p w14:paraId="565A320E" w14:textId="3606DBD0" w:rsidR="002623EB" w:rsidRDefault="007B23F1" w:rsidP="003A1E28">
      <w:pPr>
        <w:spacing w:line="276" w:lineRule="auto"/>
        <w:rPr>
          <w:rFonts w:cstheme="minorHAnsi"/>
          <w:sz w:val="22"/>
          <w:szCs w:val="22"/>
          <w:lang w:val="fr-FR"/>
        </w:rPr>
      </w:pPr>
      <w:r w:rsidRPr="008E49A5">
        <w:rPr>
          <w:rFonts w:cstheme="minorHAnsi"/>
          <w:sz w:val="22"/>
          <w:szCs w:val="22"/>
          <w:lang w:val="fr-FR"/>
        </w:rPr>
        <w:t>La SNV se réserve le droit de ne donner aucune suite à tout ou une partie du présent appel à candidature.</w:t>
      </w:r>
    </w:p>
    <w:p w14:paraId="6F71980E" w14:textId="77777777" w:rsidR="00E00097" w:rsidRDefault="00E00097" w:rsidP="003A1E28">
      <w:pPr>
        <w:spacing w:line="276" w:lineRule="auto"/>
        <w:rPr>
          <w:rFonts w:cstheme="minorHAnsi"/>
          <w:sz w:val="22"/>
          <w:szCs w:val="22"/>
          <w:lang w:val="fr-FR"/>
        </w:rPr>
      </w:pPr>
    </w:p>
    <w:p w14:paraId="0E4D8B18" w14:textId="77777777" w:rsidR="00E00097" w:rsidRPr="008E49A5" w:rsidRDefault="00E00097" w:rsidP="00E00097">
      <w:pPr>
        <w:pStyle w:val="Heading1"/>
        <w:rPr>
          <w:lang w:val="fr-FR"/>
        </w:rPr>
      </w:pPr>
      <w:r w:rsidRPr="008E49A5">
        <w:rPr>
          <w:lang w:val="fr-FR"/>
        </w:rPr>
        <w:t>Modalités de paiement</w:t>
      </w:r>
    </w:p>
    <w:p w14:paraId="4FDDC6A0" w14:textId="77777777" w:rsidR="00E00097" w:rsidRDefault="00E00097" w:rsidP="00E00097">
      <w:pPr>
        <w:spacing w:before="120" w:line="276" w:lineRule="auto"/>
        <w:jc w:val="both"/>
        <w:rPr>
          <w:sz w:val="22"/>
          <w:szCs w:val="22"/>
          <w:lang w:val="fr-FR"/>
        </w:rPr>
      </w:pPr>
      <w:r w:rsidRPr="00E00097">
        <w:rPr>
          <w:sz w:val="22"/>
          <w:szCs w:val="22"/>
          <w:lang w:val="fr-FR"/>
        </w:rPr>
        <w:t>Les paiements au prestataire seront effectués exclusivement sur la base des livrables validés.</w:t>
      </w:r>
    </w:p>
    <w:p w14:paraId="0A19B6BA" w14:textId="77777777" w:rsidR="00E00097" w:rsidRPr="00E00097" w:rsidRDefault="00E00097" w:rsidP="00E00097">
      <w:pPr>
        <w:spacing w:before="120" w:line="276" w:lineRule="auto"/>
        <w:jc w:val="both"/>
        <w:rPr>
          <w:sz w:val="22"/>
          <w:szCs w:val="22"/>
          <w:lang w:val="fr-FR"/>
        </w:rPr>
      </w:pPr>
      <w:r w:rsidRPr="00E00097">
        <w:rPr>
          <w:sz w:val="22"/>
          <w:szCs w:val="22"/>
          <w:lang w:val="fr-FR"/>
        </w:rPr>
        <w:t>Aucun paiement anticipé ne sera réalisé, sauf justification exceptionnelle, auquel cas toute avance ne pourra dépasser 30 % du montant total du contrat. Le paiement interviendra dans un délai de 15 à 30 jours après remise et validation des livrables correspondants.</w:t>
      </w:r>
    </w:p>
    <w:p w14:paraId="58BAD408" w14:textId="77777777" w:rsidR="00E00097" w:rsidRPr="008E49A5" w:rsidRDefault="00E00097" w:rsidP="00E00097">
      <w:pPr>
        <w:pStyle w:val="Heading1"/>
        <w:rPr>
          <w:lang w:val="fr-FR"/>
        </w:rPr>
      </w:pPr>
      <w:r w:rsidRPr="008E49A5">
        <w:rPr>
          <w:lang w:val="fr-FR"/>
        </w:rPr>
        <w:t xml:space="preserve">Droits d’auteur et propriété intellectuelle </w:t>
      </w:r>
    </w:p>
    <w:p w14:paraId="12652C9F" w14:textId="77777777" w:rsidR="00E00097" w:rsidRPr="008E49A5" w:rsidRDefault="00E00097" w:rsidP="00E00097">
      <w:pPr>
        <w:pStyle w:val="BodyText"/>
        <w:spacing w:before="3" w:line="276" w:lineRule="auto"/>
        <w:jc w:val="both"/>
        <w:rPr>
          <w:rFonts w:asciiTheme="minorHAnsi" w:hAnsiTheme="minorHAnsi" w:cstheme="minorHAnsi"/>
          <w:sz w:val="22"/>
          <w:szCs w:val="22"/>
          <w:lang w:val="fr-FR"/>
        </w:rPr>
      </w:pPr>
      <w:r w:rsidRPr="008E49A5">
        <w:rPr>
          <w:rFonts w:asciiTheme="minorHAnsi" w:hAnsiTheme="minorHAnsi" w:cstheme="minorHAnsi"/>
          <w:sz w:val="22"/>
          <w:szCs w:val="22"/>
          <w:lang w:val="fr-FR"/>
        </w:rPr>
        <w:t>Tous les produits, livrables, documents, matériels, contenus audiovisuels, supports numériques, bases de données, outils ou tout autre résultat issus de la mission, produits dans le cadre de ce contrat, seront la propriété exclusive de SNV, sauf disposition contraire explicitement convenue par écrit.</w:t>
      </w:r>
    </w:p>
    <w:p w14:paraId="4E6D90F3" w14:textId="77777777" w:rsidR="00E00097" w:rsidRPr="008E49A5" w:rsidRDefault="00E00097" w:rsidP="00E00097">
      <w:pPr>
        <w:pStyle w:val="BodyText"/>
        <w:spacing w:before="3" w:line="276" w:lineRule="auto"/>
        <w:jc w:val="both"/>
        <w:rPr>
          <w:rFonts w:asciiTheme="minorHAnsi" w:hAnsiTheme="minorHAnsi" w:cstheme="minorHAnsi"/>
          <w:sz w:val="22"/>
          <w:szCs w:val="22"/>
          <w:lang w:val="fr-FR"/>
        </w:rPr>
      </w:pPr>
      <w:r w:rsidRPr="008E49A5">
        <w:rPr>
          <w:rFonts w:asciiTheme="minorHAnsi" w:hAnsiTheme="minorHAnsi" w:cstheme="minorHAnsi"/>
          <w:sz w:val="22"/>
          <w:szCs w:val="22"/>
          <w:lang w:val="fr-FR"/>
        </w:rPr>
        <w:t>Le consultant ou prestataire s'engage à respecter les principes suivants :</w:t>
      </w:r>
    </w:p>
    <w:p w14:paraId="5C5E952A" w14:textId="77777777" w:rsidR="00E00097" w:rsidRPr="008E49A5" w:rsidRDefault="00E00097" w:rsidP="00E00097">
      <w:pPr>
        <w:pStyle w:val="BodyText"/>
        <w:numPr>
          <w:ilvl w:val="0"/>
          <w:numId w:val="9"/>
        </w:numPr>
        <w:spacing w:before="3" w:line="276" w:lineRule="auto"/>
        <w:jc w:val="both"/>
        <w:rPr>
          <w:rFonts w:asciiTheme="minorHAnsi" w:hAnsiTheme="minorHAnsi" w:cstheme="minorHAnsi"/>
          <w:b/>
          <w:bCs/>
          <w:sz w:val="22"/>
          <w:szCs w:val="22"/>
          <w:lang w:val="fr-FR"/>
        </w:rPr>
      </w:pPr>
      <w:r w:rsidRPr="008E49A5">
        <w:rPr>
          <w:rFonts w:asciiTheme="minorHAnsi" w:hAnsiTheme="minorHAnsi" w:cstheme="minorHAnsi"/>
          <w:b/>
          <w:bCs/>
          <w:sz w:val="22"/>
          <w:szCs w:val="22"/>
          <w:lang w:val="fr-FR"/>
        </w:rPr>
        <w:t>Transfert des droits</w:t>
      </w:r>
    </w:p>
    <w:p w14:paraId="338D52C3" w14:textId="77777777" w:rsidR="00E00097" w:rsidRPr="008E49A5" w:rsidRDefault="00E00097" w:rsidP="00E00097">
      <w:pPr>
        <w:pStyle w:val="BodyText"/>
        <w:spacing w:before="3" w:line="276" w:lineRule="auto"/>
        <w:ind w:left="720"/>
        <w:jc w:val="both"/>
        <w:rPr>
          <w:rFonts w:asciiTheme="minorHAnsi" w:hAnsiTheme="minorHAnsi" w:cstheme="minorHAnsi"/>
          <w:sz w:val="22"/>
          <w:szCs w:val="22"/>
          <w:lang w:val="fr-FR"/>
        </w:rPr>
      </w:pPr>
      <w:r w:rsidRPr="008E49A5">
        <w:rPr>
          <w:rFonts w:asciiTheme="minorHAnsi" w:hAnsiTheme="minorHAnsi" w:cstheme="minorHAnsi"/>
          <w:sz w:val="22"/>
          <w:szCs w:val="22"/>
          <w:lang w:val="fr-FR"/>
        </w:rPr>
        <w:t>Les droits patrimoniaux d’auteur afférents aux livrables sont intégralement cédés à SNV dès leur production et leur paiement effectif. Cela inclut, sans limitation :</w:t>
      </w:r>
    </w:p>
    <w:p w14:paraId="4FACC8E6" w14:textId="77777777" w:rsidR="00E00097" w:rsidRPr="008E49A5" w:rsidRDefault="00E00097" w:rsidP="00E00097">
      <w:pPr>
        <w:pStyle w:val="BodyText"/>
        <w:numPr>
          <w:ilvl w:val="0"/>
          <w:numId w:val="9"/>
        </w:numPr>
        <w:spacing w:before="3" w:line="276" w:lineRule="auto"/>
        <w:jc w:val="both"/>
        <w:rPr>
          <w:rFonts w:asciiTheme="minorHAnsi" w:hAnsiTheme="minorHAnsi" w:cstheme="minorHAnsi"/>
          <w:b/>
          <w:bCs/>
          <w:sz w:val="22"/>
          <w:szCs w:val="22"/>
          <w:lang w:val="fr-FR"/>
        </w:rPr>
      </w:pPr>
      <w:r w:rsidRPr="008E49A5">
        <w:rPr>
          <w:rFonts w:asciiTheme="minorHAnsi" w:hAnsiTheme="minorHAnsi" w:cstheme="minorHAnsi"/>
          <w:b/>
          <w:bCs/>
          <w:sz w:val="22"/>
          <w:szCs w:val="22"/>
          <w:lang w:val="fr-FR"/>
        </w:rPr>
        <w:t>Le droit de reproduction, diffusion, traduction, adaptation, transformation, en tout ou partie</w:t>
      </w:r>
    </w:p>
    <w:p w14:paraId="32A3F307" w14:textId="77777777" w:rsidR="00E00097" w:rsidRPr="008E49A5" w:rsidRDefault="00E00097" w:rsidP="00E00097">
      <w:pPr>
        <w:pStyle w:val="BodyText"/>
        <w:spacing w:before="3" w:line="276" w:lineRule="auto"/>
        <w:ind w:left="720"/>
        <w:jc w:val="both"/>
        <w:rPr>
          <w:rFonts w:asciiTheme="minorHAnsi" w:hAnsiTheme="minorHAnsi" w:cstheme="minorHAnsi"/>
          <w:sz w:val="22"/>
          <w:szCs w:val="22"/>
          <w:lang w:val="fr-FR"/>
        </w:rPr>
      </w:pPr>
      <w:r w:rsidRPr="008E49A5">
        <w:rPr>
          <w:rFonts w:asciiTheme="minorHAnsi" w:hAnsiTheme="minorHAnsi" w:cstheme="minorHAnsi"/>
          <w:sz w:val="22"/>
          <w:szCs w:val="22"/>
          <w:lang w:val="fr-FR"/>
        </w:rPr>
        <w:t xml:space="preserve">Le droit d’usage pour des besoins internes, de plaidoyer, de communication publique, ou à des fins de </w:t>
      </w:r>
      <w:proofErr w:type="spellStart"/>
      <w:r w:rsidRPr="008E49A5">
        <w:rPr>
          <w:rFonts w:asciiTheme="minorHAnsi" w:hAnsiTheme="minorHAnsi" w:cstheme="minorHAnsi"/>
          <w:sz w:val="22"/>
          <w:szCs w:val="22"/>
          <w:lang w:val="fr-FR"/>
        </w:rPr>
        <w:t>reporting</w:t>
      </w:r>
      <w:proofErr w:type="spellEnd"/>
      <w:r w:rsidRPr="008E49A5">
        <w:rPr>
          <w:rFonts w:asciiTheme="minorHAnsi" w:hAnsiTheme="minorHAnsi" w:cstheme="minorHAnsi"/>
          <w:sz w:val="22"/>
          <w:szCs w:val="22"/>
          <w:lang w:val="fr-FR"/>
        </w:rPr>
        <w:t xml:space="preserve"> aux partenaires techniques et financiers.</w:t>
      </w:r>
    </w:p>
    <w:p w14:paraId="56AF145B" w14:textId="77777777" w:rsidR="00E00097" w:rsidRPr="008E49A5" w:rsidRDefault="00E00097" w:rsidP="00E00097">
      <w:pPr>
        <w:pStyle w:val="BodyText"/>
        <w:numPr>
          <w:ilvl w:val="0"/>
          <w:numId w:val="9"/>
        </w:numPr>
        <w:spacing w:before="3" w:line="276" w:lineRule="auto"/>
        <w:jc w:val="both"/>
        <w:rPr>
          <w:rFonts w:asciiTheme="minorHAnsi" w:hAnsiTheme="minorHAnsi" w:cstheme="minorHAnsi"/>
          <w:b/>
          <w:bCs/>
          <w:sz w:val="22"/>
          <w:szCs w:val="22"/>
          <w:lang w:val="fr-FR"/>
        </w:rPr>
      </w:pPr>
      <w:r w:rsidRPr="008E49A5">
        <w:rPr>
          <w:rFonts w:asciiTheme="minorHAnsi" w:hAnsiTheme="minorHAnsi" w:cstheme="minorHAnsi"/>
          <w:b/>
          <w:bCs/>
          <w:sz w:val="22"/>
          <w:szCs w:val="22"/>
          <w:lang w:val="fr-FR"/>
        </w:rPr>
        <w:t>Mention des auteurs</w:t>
      </w:r>
    </w:p>
    <w:p w14:paraId="15ACC579" w14:textId="77777777" w:rsidR="00E00097" w:rsidRPr="008E49A5" w:rsidRDefault="00E00097" w:rsidP="00E00097">
      <w:pPr>
        <w:pStyle w:val="BodyText"/>
        <w:spacing w:before="3" w:line="276" w:lineRule="auto"/>
        <w:ind w:left="720"/>
        <w:jc w:val="both"/>
        <w:rPr>
          <w:rFonts w:asciiTheme="minorHAnsi" w:hAnsiTheme="minorHAnsi" w:cstheme="minorHAnsi"/>
          <w:sz w:val="22"/>
          <w:szCs w:val="22"/>
          <w:lang w:val="fr-FR"/>
        </w:rPr>
      </w:pPr>
      <w:r w:rsidRPr="008E49A5">
        <w:rPr>
          <w:rFonts w:asciiTheme="minorHAnsi" w:hAnsiTheme="minorHAnsi" w:cstheme="minorHAnsi"/>
          <w:sz w:val="22"/>
          <w:szCs w:val="22"/>
          <w:lang w:val="fr-FR"/>
        </w:rPr>
        <w:t>SNV se réserve le droit de mentionner ou non le nom du consultant ou de l’organisation prestataire dans la diffusion des produits réalisés, selon le contexte, les supports, ou les politiques de communication en vigueur.</w:t>
      </w:r>
    </w:p>
    <w:p w14:paraId="20206157" w14:textId="77777777" w:rsidR="00E00097" w:rsidRPr="008E49A5" w:rsidRDefault="00E00097" w:rsidP="00E00097">
      <w:pPr>
        <w:pStyle w:val="BodyText"/>
        <w:numPr>
          <w:ilvl w:val="0"/>
          <w:numId w:val="9"/>
        </w:numPr>
        <w:spacing w:before="3" w:line="276" w:lineRule="auto"/>
        <w:jc w:val="both"/>
        <w:rPr>
          <w:rFonts w:asciiTheme="minorHAnsi" w:hAnsiTheme="minorHAnsi" w:cstheme="minorHAnsi"/>
          <w:b/>
          <w:bCs/>
          <w:sz w:val="22"/>
          <w:szCs w:val="22"/>
          <w:lang w:val="fr-FR"/>
        </w:rPr>
      </w:pPr>
      <w:r w:rsidRPr="008E49A5">
        <w:rPr>
          <w:rFonts w:asciiTheme="minorHAnsi" w:hAnsiTheme="minorHAnsi" w:cstheme="minorHAnsi"/>
          <w:b/>
          <w:bCs/>
          <w:sz w:val="22"/>
          <w:szCs w:val="22"/>
          <w:lang w:val="fr-FR"/>
        </w:rPr>
        <w:lastRenderedPageBreak/>
        <w:t>Interdiction de réutilisation sans autorisation</w:t>
      </w:r>
    </w:p>
    <w:p w14:paraId="15430ACB" w14:textId="77777777" w:rsidR="00E00097" w:rsidRPr="008E49A5" w:rsidRDefault="00E00097" w:rsidP="00E00097">
      <w:pPr>
        <w:pStyle w:val="BodyText"/>
        <w:spacing w:before="3" w:line="276" w:lineRule="auto"/>
        <w:ind w:left="720"/>
        <w:jc w:val="both"/>
        <w:rPr>
          <w:rFonts w:asciiTheme="minorHAnsi" w:hAnsiTheme="minorHAnsi" w:cstheme="minorHAnsi"/>
          <w:sz w:val="22"/>
          <w:szCs w:val="22"/>
          <w:lang w:val="fr-FR"/>
        </w:rPr>
      </w:pPr>
      <w:r w:rsidRPr="008E49A5">
        <w:rPr>
          <w:rFonts w:asciiTheme="minorHAnsi" w:hAnsiTheme="minorHAnsi" w:cstheme="minorHAnsi"/>
          <w:sz w:val="22"/>
          <w:szCs w:val="22"/>
          <w:lang w:val="fr-FR"/>
        </w:rPr>
        <w:t>Le consultant ne pourra en aucun cas revendre, réutiliser ou redistribuer à des tiers les produits ou résultats du travail réalisé sans l'accord écrit préalable de SNV.</w:t>
      </w:r>
    </w:p>
    <w:p w14:paraId="4801CC76" w14:textId="77777777" w:rsidR="00E00097" w:rsidRPr="008E49A5" w:rsidRDefault="00E00097" w:rsidP="00E00097">
      <w:pPr>
        <w:pStyle w:val="BodyText"/>
        <w:numPr>
          <w:ilvl w:val="0"/>
          <w:numId w:val="9"/>
        </w:numPr>
        <w:spacing w:before="3" w:line="276" w:lineRule="auto"/>
        <w:jc w:val="both"/>
        <w:rPr>
          <w:rFonts w:asciiTheme="minorHAnsi" w:hAnsiTheme="minorHAnsi" w:cstheme="minorHAnsi"/>
          <w:b/>
          <w:bCs/>
          <w:sz w:val="22"/>
          <w:szCs w:val="22"/>
          <w:lang w:val="fr-FR"/>
        </w:rPr>
      </w:pPr>
      <w:r w:rsidRPr="008E49A5">
        <w:rPr>
          <w:rFonts w:asciiTheme="minorHAnsi" w:hAnsiTheme="minorHAnsi" w:cstheme="minorHAnsi"/>
          <w:b/>
          <w:bCs/>
          <w:sz w:val="22"/>
          <w:szCs w:val="22"/>
          <w:lang w:val="fr-FR"/>
        </w:rPr>
        <w:t>Protection des contenus sensibles</w:t>
      </w:r>
    </w:p>
    <w:p w14:paraId="080DA5FC" w14:textId="77777777" w:rsidR="00E00097" w:rsidRPr="008E49A5" w:rsidRDefault="00E00097" w:rsidP="00E00097">
      <w:pPr>
        <w:pStyle w:val="BodyText"/>
        <w:spacing w:before="3" w:line="276" w:lineRule="auto"/>
        <w:ind w:left="720"/>
        <w:jc w:val="both"/>
        <w:rPr>
          <w:rFonts w:asciiTheme="minorHAnsi" w:hAnsiTheme="minorHAnsi" w:cstheme="minorHAnsi"/>
          <w:sz w:val="22"/>
          <w:szCs w:val="22"/>
          <w:lang w:val="fr-FR"/>
        </w:rPr>
      </w:pPr>
      <w:r w:rsidRPr="008E49A5">
        <w:rPr>
          <w:rFonts w:asciiTheme="minorHAnsi" w:hAnsiTheme="minorHAnsi" w:cstheme="minorHAnsi"/>
          <w:sz w:val="22"/>
          <w:szCs w:val="22"/>
          <w:lang w:val="fr-FR"/>
        </w:rPr>
        <w:t>Le prestataire s'engage à ne pas divulguer, publier ou utiliser à des fins personnelles ou commerciales toute information confidentielle, stratégique ou sensible obtenue dans le cadre de la mission.</w:t>
      </w:r>
    </w:p>
    <w:p w14:paraId="0EA5633B" w14:textId="77777777" w:rsidR="00E00097" w:rsidRPr="008E49A5" w:rsidRDefault="00E00097" w:rsidP="00E00097">
      <w:pPr>
        <w:pStyle w:val="BodyText"/>
        <w:numPr>
          <w:ilvl w:val="0"/>
          <w:numId w:val="9"/>
        </w:numPr>
        <w:spacing w:before="3" w:line="276" w:lineRule="auto"/>
        <w:jc w:val="both"/>
        <w:rPr>
          <w:rFonts w:asciiTheme="minorHAnsi" w:hAnsiTheme="minorHAnsi" w:cstheme="minorHAnsi"/>
          <w:b/>
          <w:bCs/>
          <w:sz w:val="22"/>
          <w:szCs w:val="22"/>
          <w:lang w:val="fr-FR"/>
        </w:rPr>
      </w:pPr>
      <w:r w:rsidRPr="008E49A5">
        <w:rPr>
          <w:rFonts w:asciiTheme="minorHAnsi" w:hAnsiTheme="minorHAnsi" w:cstheme="minorHAnsi"/>
          <w:b/>
          <w:bCs/>
          <w:sz w:val="22"/>
          <w:szCs w:val="22"/>
          <w:lang w:val="fr-FR"/>
        </w:rPr>
        <w:t>Respect des droits de tiers</w:t>
      </w:r>
    </w:p>
    <w:p w14:paraId="79DC8820" w14:textId="77777777" w:rsidR="00E00097" w:rsidRPr="008E49A5" w:rsidRDefault="00E00097" w:rsidP="00E00097">
      <w:pPr>
        <w:pStyle w:val="BodyText"/>
        <w:spacing w:before="3" w:line="276" w:lineRule="auto"/>
        <w:ind w:left="720"/>
        <w:jc w:val="both"/>
        <w:rPr>
          <w:rFonts w:asciiTheme="minorHAnsi" w:hAnsiTheme="minorHAnsi" w:cstheme="minorHAnsi"/>
          <w:sz w:val="22"/>
          <w:szCs w:val="22"/>
          <w:lang w:val="fr-FR"/>
        </w:rPr>
      </w:pPr>
      <w:r w:rsidRPr="008E49A5">
        <w:rPr>
          <w:rFonts w:asciiTheme="minorHAnsi" w:hAnsiTheme="minorHAnsi" w:cstheme="minorHAnsi"/>
          <w:sz w:val="22"/>
          <w:szCs w:val="22"/>
          <w:lang w:val="fr-FR"/>
        </w:rPr>
        <w:t>Il appartient au consultant de s’assurer que les éléments fournis à SNV (images, sons, logiciels, polices, etc.) sont libres de droits ou utilisés dans le respect des licences applicables. Toute violation de droits de propriété intellectuelle de tiers relèvera de sa responsabilité exclusive.</w:t>
      </w:r>
    </w:p>
    <w:p w14:paraId="6F317DFA" w14:textId="77777777" w:rsidR="00E00097" w:rsidRPr="008E49A5" w:rsidRDefault="00E00097" w:rsidP="003A1E28">
      <w:pPr>
        <w:spacing w:line="276" w:lineRule="auto"/>
        <w:rPr>
          <w:rFonts w:cstheme="minorHAnsi"/>
          <w:sz w:val="22"/>
          <w:szCs w:val="22"/>
          <w:lang w:val="fr-FR"/>
        </w:rPr>
      </w:pPr>
    </w:p>
    <w:p w14:paraId="64E4086D" w14:textId="253000B4" w:rsidR="002623EB" w:rsidRPr="008E49A5" w:rsidRDefault="00D34D91" w:rsidP="002623EB">
      <w:pPr>
        <w:pStyle w:val="Heading1"/>
        <w:rPr>
          <w:lang w:val="fr-FR"/>
        </w:rPr>
      </w:pPr>
      <w:r w:rsidRPr="008E49A5">
        <w:rPr>
          <w:lang w:val="fr-FR"/>
        </w:rPr>
        <w:t>Conformité aux exigences clés</w:t>
      </w:r>
    </w:p>
    <w:p w14:paraId="046D99AA" w14:textId="1F24D161" w:rsidR="007B23F1" w:rsidRPr="008E49A5" w:rsidRDefault="007B23F1" w:rsidP="00D34D91">
      <w:pPr>
        <w:spacing w:before="120" w:line="276" w:lineRule="auto"/>
        <w:jc w:val="both"/>
        <w:rPr>
          <w:sz w:val="22"/>
          <w:szCs w:val="22"/>
          <w:lang w:val="fr-FR"/>
        </w:rPr>
      </w:pPr>
      <w:r w:rsidRPr="008E49A5">
        <w:rPr>
          <w:sz w:val="22"/>
          <w:szCs w:val="22"/>
          <w:lang w:val="fr-FR"/>
        </w:rPr>
        <w:t>Le consultant ou partenaire retenu devra se conformer aux exigences suivantes tout au long de la mise en œuvre de la mission :</w:t>
      </w:r>
    </w:p>
    <w:p w14:paraId="7BACC2D4" w14:textId="77777777" w:rsidR="007B23F1" w:rsidRPr="008E49A5" w:rsidRDefault="007B23F1" w:rsidP="00E00097">
      <w:pPr>
        <w:pStyle w:val="ListParagraph"/>
        <w:numPr>
          <w:ilvl w:val="0"/>
          <w:numId w:val="8"/>
        </w:numPr>
        <w:spacing w:before="120" w:line="276" w:lineRule="auto"/>
        <w:jc w:val="both"/>
        <w:rPr>
          <w:rFonts w:asciiTheme="minorHAnsi" w:hAnsiTheme="minorHAnsi" w:cstheme="minorHAnsi"/>
          <w:b/>
          <w:bCs/>
          <w:sz w:val="22"/>
          <w:szCs w:val="22"/>
          <w:lang w:val="fr-FR"/>
        </w:rPr>
      </w:pPr>
      <w:r w:rsidRPr="008E49A5">
        <w:rPr>
          <w:rFonts w:asciiTheme="minorHAnsi" w:hAnsiTheme="minorHAnsi" w:cstheme="minorHAnsi"/>
          <w:b/>
          <w:bCs/>
          <w:sz w:val="22"/>
          <w:szCs w:val="22"/>
          <w:lang w:val="fr-FR"/>
        </w:rPr>
        <w:t>Sauvegardes environnementales et sociales</w:t>
      </w:r>
    </w:p>
    <w:p w14:paraId="04D6A943" w14:textId="5DA1B18A" w:rsidR="007B23F1" w:rsidRPr="008E49A5" w:rsidRDefault="007B23F1" w:rsidP="00D34D91">
      <w:pPr>
        <w:pStyle w:val="ListParagraph"/>
        <w:spacing w:before="120" w:line="276" w:lineRule="auto"/>
        <w:ind w:left="720"/>
        <w:jc w:val="both"/>
        <w:rPr>
          <w:rFonts w:asciiTheme="minorHAnsi" w:hAnsiTheme="minorHAnsi" w:cstheme="minorHAnsi"/>
          <w:sz w:val="22"/>
          <w:szCs w:val="22"/>
          <w:lang w:val="fr-FR"/>
        </w:rPr>
      </w:pPr>
      <w:r w:rsidRPr="008E49A5">
        <w:rPr>
          <w:rFonts w:asciiTheme="minorHAnsi" w:hAnsiTheme="minorHAnsi" w:cstheme="minorHAnsi"/>
          <w:sz w:val="22"/>
          <w:szCs w:val="22"/>
          <w:lang w:val="fr-FR"/>
        </w:rPr>
        <w:t>Le prestataire est tenu de respecter les normes environnementales et sociales de la SNV. Cela inclut la prévention des impacts négatifs sur l’environnement, la promotion de la durabilité, la sécurité des personnes impliquées dans les activités, ainsi que la non-discrimination, l’équité de genre et la protection des groupes vulnérables.</w:t>
      </w:r>
    </w:p>
    <w:p w14:paraId="3A282823" w14:textId="1226691C" w:rsidR="007B23F1" w:rsidRPr="008E49A5" w:rsidRDefault="007B23F1" w:rsidP="00E00097">
      <w:pPr>
        <w:pStyle w:val="ListParagraph"/>
        <w:numPr>
          <w:ilvl w:val="0"/>
          <w:numId w:val="8"/>
        </w:numPr>
        <w:spacing w:before="120" w:line="276" w:lineRule="auto"/>
        <w:jc w:val="both"/>
        <w:rPr>
          <w:rFonts w:asciiTheme="minorHAnsi" w:hAnsiTheme="minorHAnsi" w:cstheme="minorHAnsi"/>
          <w:b/>
          <w:bCs/>
          <w:sz w:val="22"/>
          <w:szCs w:val="22"/>
          <w:lang w:val="fr-FR"/>
        </w:rPr>
      </w:pPr>
      <w:r w:rsidRPr="008E49A5">
        <w:rPr>
          <w:rFonts w:asciiTheme="minorHAnsi" w:hAnsiTheme="minorHAnsi" w:cstheme="minorHAnsi"/>
          <w:b/>
          <w:bCs/>
          <w:sz w:val="22"/>
          <w:szCs w:val="22"/>
          <w:lang w:val="fr-FR"/>
        </w:rPr>
        <w:t xml:space="preserve">Lutte contre l’exploitation et les abus sexuels </w:t>
      </w:r>
    </w:p>
    <w:p w14:paraId="45828E35" w14:textId="34F95E41" w:rsidR="007B23F1" w:rsidRPr="008E49A5" w:rsidRDefault="007B23F1" w:rsidP="00D34D91">
      <w:pPr>
        <w:pStyle w:val="ListParagraph"/>
        <w:spacing w:before="120" w:line="276" w:lineRule="auto"/>
        <w:ind w:left="720"/>
        <w:jc w:val="both"/>
        <w:rPr>
          <w:rFonts w:asciiTheme="minorHAnsi" w:hAnsiTheme="minorHAnsi" w:cstheme="minorHAnsi"/>
          <w:sz w:val="22"/>
          <w:szCs w:val="22"/>
          <w:lang w:val="fr-FR"/>
        </w:rPr>
      </w:pPr>
      <w:r w:rsidRPr="008E49A5">
        <w:rPr>
          <w:rFonts w:asciiTheme="minorHAnsi" w:hAnsiTheme="minorHAnsi" w:cstheme="minorHAnsi"/>
          <w:sz w:val="22"/>
          <w:szCs w:val="22"/>
          <w:lang w:val="fr-FR"/>
        </w:rPr>
        <w:t>SNV applique une politique de tolérance zéro à l’égard de toute forme d’exploitation, d’abus ou de harcèlement sexuel. Le prestataire s’engage à prendre toutes les mesures nécessaires pour prévenir de tels comportements et à signaler tout incident conformément aux mécanismes de signalement mis en place.</w:t>
      </w:r>
    </w:p>
    <w:p w14:paraId="3C967014" w14:textId="77777777" w:rsidR="007B23F1" w:rsidRPr="008E49A5" w:rsidRDefault="007B23F1" w:rsidP="00E00097">
      <w:pPr>
        <w:pStyle w:val="ListParagraph"/>
        <w:numPr>
          <w:ilvl w:val="0"/>
          <w:numId w:val="8"/>
        </w:numPr>
        <w:spacing w:before="120" w:line="276" w:lineRule="auto"/>
        <w:jc w:val="both"/>
        <w:rPr>
          <w:rFonts w:asciiTheme="minorHAnsi" w:hAnsiTheme="minorHAnsi" w:cstheme="minorHAnsi"/>
          <w:b/>
          <w:bCs/>
          <w:sz w:val="22"/>
          <w:szCs w:val="22"/>
          <w:lang w:val="fr-FR"/>
        </w:rPr>
      </w:pPr>
      <w:r w:rsidRPr="008E49A5">
        <w:rPr>
          <w:rFonts w:asciiTheme="minorHAnsi" w:hAnsiTheme="minorHAnsi" w:cstheme="minorHAnsi"/>
          <w:b/>
          <w:bCs/>
          <w:sz w:val="22"/>
          <w:szCs w:val="22"/>
          <w:lang w:val="fr-FR"/>
        </w:rPr>
        <w:t>Protection des données et confidentialité</w:t>
      </w:r>
    </w:p>
    <w:p w14:paraId="7D803AD9" w14:textId="5EA32CC5" w:rsidR="007B23F1" w:rsidRPr="008E49A5" w:rsidRDefault="007B23F1" w:rsidP="00D34D91">
      <w:pPr>
        <w:pStyle w:val="ListParagraph"/>
        <w:spacing w:before="120" w:line="276" w:lineRule="auto"/>
        <w:ind w:left="720"/>
        <w:jc w:val="both"/>
        <w:rPr>
          <w:rFonts w:asciiTheme="minorHAnsi" w:hAnsiTheme="minorHAnsi" w:cstheme="minorHAnsi"/>
          <w:sz w:val="22"/>
          <w:szCs w:val="22"/>
          <w:lang w:val="fr-FR"/>
        </w:rPr>
      </w:pPr>
      <w:r w:rsidRPr="008E49A5">
        <w:rPr>
          <w:rFonts w:asciiTheme="minorHAnsi" w:hAnsiTheme="minorHAnsi" w:cstheme="minorHAnsi"/>
          <w:sz w:val="22"/>
          <w:szCs w:val="22"/>
          <w:lang w:val="fr-FR"/>
        </w:rPr>
        <w:t>Le prestataire devra garantir la confidentialité des données collectées ou partagées dans le cadre de la mission, et s’assurer que leur traitement est conforme aux législations nationales et aux standards éthiques de SNV.</w:t>
      </w:r>
    </w:p>
    <w:p w14:paraId="3B5E89B3" w14:textId="77777777" w:rsidR="007B23F1" w:rsidRPr="008E49A5" w:rsidRDefault="007B23F1" w:rsidP="00E00097">
      <w:pPr>
        <w:pStyle w:val="ListParagraph"/>
        <w:numPr>
          <w:ilvl w:val="0"/>
          <w:numId w:val="8"/>
        </w:numPr>
        <w:spacing w:before="120" w:line="276" w:lineRule="auto"/>
        <w:jc w:val="both"/>
        <w:rPr>
          <w:rFonts w:asciiTheme="minorHAnsi" w:hAnsiTheme="minorHAnsi" w:cstheme="minorHAnsi"/>
          <w:b/>
          <w:bCs/>
          <w:sz w:val="22"/>
          <w:szCs w:val="22"/>
          <w:lang w:val="fr-FR"/>
        </w:rPr>
      </w:pPr>
      <w:r w:rsidRPr="008E49A5">
        <w:rPr>
          <w:rFonts w:asciiTheme="minorHAnsi" w:hAnsiTheme="minorHAnsi" w:cstheme="minorHAnsi"/>
          <w:b/>
          <w:bCs/>
          <w:sz w:val="22"/>
          <w:szCs w:val="22"/>
          <w:lang w:val="fr-FR"/>
        </w:rPr>
        <w:t>Code de conduite et éthique professionnelle</w:t>
      </w:r>
    </w:p>
    <w:p w14:paraId="785F0745" w14:textId="32B82D00" w:rsidR="007B23F1" w:rsidRPr="008E49A5" w:rsidRDefault="007B23F1" w:rsidP="00D34D91">
      <w:pPr>
        <w:pStyle w:val="ListParagraph"/>
        <w:spacing w:before="120" w:line="276" w:lineRule="auto"/>
        <w:ind w:left="720"/>
        <w:jc w:val="both"/>
        <w:rPr>
          <w:rFonts w:asciiTheme="minorHAnsi" w:hAnsiTheme="minorHAnsi" w:cstheme="minorHAnsi"/>
          <w:sz w:val="22"/>
          <w:szCs w:val="22"/>
          <w:lang w:val="fr-FR"/>
        </w:rPr>
      </w:pPr>
      <w:r w:rsidRPr="008E49A5">
        <w:rPr>
          <w:rFonts w:asciiTheme="minorHAnsi" w:hAnsiTheme="minorHAnsi" w:cstheme="minorHAnsi"/>
          <w:sz w:val="22"/>
          <w:szCs w:val="22"/>
          <w:lang w:val="fr-FR"/>
        </w:rPr>
        <w:lastRenderedPageBreak/>
        <w:t>Le consultant devra agir avec intégrité, impartialité et transparence. Toute forme de corruption, de favoritisme ou de conflit d’intérêt est strictement proscrite. Il est également attendu du prestataire qu’il traite toutes les parties prenantes avec respect et dignité.</w:t>
      </w:r>
    </w:p>
    <w:p w14:paraId="70A6DC92" w14:textId="77777777" w:rsidR="007B23F1" w:rsidRPr="008E49A5" w:rsidRDefault="007B23F1" w:rsidP="00E00097">
      <w:pPr>
        <w:pStyle w:val="ListParagraph"/>
        <w:numPr>
          <w:ilvl w:val="0"/>
          <w:numId w:val="8"/>
        </w:numPr>
        <w:spacing w:before="120" w:line="276" w:lineRule="auto"/>
        <w:jc w:val="both"/>
        <w:rPr>
          <w:rFonts w:asciiTheme="minorHAnsi" w:hAnsiTheme="minorHAnsi" w:cstheme="minorHAnsi"/>
          <w:b/>
          <w:bCs/>
          <w:sz w:val="22"/>
          <w:szCs w:val="22"/>
          <w:lang w:val="fr-FR"/>
        </w:rPr>
      </w:pPr>
      <w:r w:rsidRPr="008E49A5">
        <w:rPr>
          <w:rFonts w:asciiTheme="minorHAnsi" w:hAnsiTheme="minorHAnsi" w:cstheme="minorHAnsi"/>
          <w:b/>
          <w:bCs/>
          <w:sz w:val="22"/>
          <w:szCs w:val="22"/>
          <w:lang w:val="fr-FR"/>
        </w:rPr>
        <w:t>Normes de sécurité</w:t>
      </w:r>
    </w:p>
    <w:p w14:paraId="6B7F964D" w14:textId="48605560" w:rsidR="007B23F1" w:rsidRPr="008E49A5" w:rsidRDefault="007B23F1" w:rsidP="00D34D91">
      <w:pPr>
        <w:pStyle w:val="ListParagraph"/>
        <w:spacing w:before="120" w:line="276" w:lineRule="auto"/>
        <w:ind w:left="720"/>
        <w:jc w:val="both"/>
        <w:rPr>
          <w:rFonts w:asciiTheme="minorHAnsi" w:hAnsiTheme="minorHAnsi" w:cstheme="minorHAnsi"/>
          <w:sz w:val="22"/>
          <w:szCs w:val="22"/>
          <w:lang w:val="fr-FR"/>
        </w:rPr>
      </w:pPr>
      <w:r w:rsidRPr="008E49A5">
        <w:rPr>
          <w:rFonts w:asciiTheme="minorHAnsi" w:hAnsiTheme="minorHAnsi" w:cstheme="minorHAnsi"/>
          <w:sz w:val="22"/>
          <w:szCs w:val="22"/>
          <w:lang w:val="fr-FR"/>
        </w:rPr>
        <w:t>Le prestataire est responsable de la sécurité de ses équipes et devra se conformer aux recommandations sécuritaires de SNV en fonction du contexte local. Toute situation à risque devra être communiquée à l’avance au point focal SNV.</w:t>
      </w:r>
    </w:p>
    <w:p w14:paraId="18B6094D" w14:textId="77777777" w:rsidR="007B23F1" w:rsidRPr="008E49A5" w:rsidRDefault="007B23F1" w:rsidP="00E00097">
      <w:pPr>
        <w:pStyle w:val="ListParagraph"/>
        <w:numPr>
          <w:ilvl w:val="0"/>
          <w:numId w:val="8"/>
        </w:numPr>
        <w:spacing w:before="120" w:line="276" w:lineRule="auto"/>
        <w:jc w:val="both"/>
        <w:rPr>
          <w:rFonts w:asciiTheme="minorHAnsi" w:hAnsiTheme="minorHAnsi" w:cstheme="minorHAnsi"/>
          <w:b/>
          <w:bCs/>
          <w:sz w:val="22"/>
          <w:szCs w:val="22"/>
          <w:lang w:val="fr-FR"/>
        </w:rPr>
      </w:pPr>
      <w:r w:rsidRPr="008E49A5">
        <w:rPr>
          <w:rFonts w:asciiTheme="minorHAnsi" w:hAnsiTheme="minorHAnsi" w:cstheme="minorHAnsi"/>
          <w:b/>
          <w:bCs/>
          <w:sz w:val="22"/>
          <w:szCs w:val="22"/>
          <w:lang w:val="fr-FR"/>
        </w:rPr>
        <w:t>Utilisation responsable des ressources du projet</w:t>
      </w:r>
    </w:p>
    <w:p w14:paraId="1A8F963B" w14:textId="77777777" w:rsidR="007B23F1" w:rsidRPr="008E49A5" w:rsidRDefault="007B23F1" w:rsidP="00D34D91">
      <w:pPr>
        <w:pStyle w:val="ListParagraph"/>
        <w:spacing w:before="120" w:line="276" w:lineRule="auto"/>
        <w:ind w:left="720"/>
        <w:jc w:val="both"/>
        <w:rPr>
          <w:rFonts w:asciiTheme="minorHAnsi" w:hAnsiTheme="minorHAnsi" w:cstheme="minorHAnsi"/>
          <w:sz w:val="22"/>
          <w:szCs w:val="22"/>
          <w:lang w:val="fr-FR"/>
        </w:rPr>
      </w:pPr>
      <w:r w:rsidRPr="008E49A5">
        <w:rPr>
          <w:rFonts w:asciiTheme="minorHAnsi" w:hAnsiTheme="minorHAnsi" w:cstheme="minorHAnsi"/>
          <w:sz w:val="22"/>
          <w:szCs w:val="22"/>
          <w:lang w:val="fr-FR"/>
        </w:rPr>
        <w:t>Le prestataire devra veiller à une utilisation efficiente, responsable et traçable des ressources (humaines, financières, matérielles) mises à disposition par le projet.</w:t>
      </w:r>
    </w:p>
    <w:p w14:paraId="0BFDCF25" w14:textId="7E6C666C" w:rsidR="002623EB" w:rsidRDefault="007B23F1" w:rsidP="00B34E56">
      <w:pPr>
        <w:spacing w:before="120" w:line="276" w:lineRule="auto"/>
        <w:jc w:val="both"/>
        <w:rPr>
          <w:sz w:val="22"/>
          <w:szCs w:val="22"/>
          <w:lang w:val="fr-FR"/>
        </w:rPr>
      </w:pPr>
      <w:r w:rsidRPr="008E49A5">
        <w:rPr>
          <w:sz w:val="22"/>
          <w:szCs w:val="22"/>
          <w:lang w:val="fr-FR"/>
        </w:rPr>
        <w:t>Le non-respect de ces exigences pourra entraîner la suspension ou la résiliation du contrat, conformément aux dispositions contractuelles prévues.</w:t>
      </w:r>
    </w:p>
    <w:p w14:paraId="5D8CDDD8" w14:textId="77777777" w:rsidR="008E49A5" w:rsidRPr="008E49A5" w:rsidRDefault="008E49A5" w:rsidP="00B34E56">
      <w:pPr>
        <w:spacing w:before="120" w:line="276" w:lineRule="auto"/>
        <w:jc w:val="both"/>
        <w:rPr>
          <w:sz w:val="22"/>
          <w:szCs w:val="22"/>
          <w:lang w:val="fr-FR"/>
        </w:rPr>
      </w:pPr>
    </w:p>
    <w:p w14:paraId="230077B0" w14:textId="23970AFF" w:rsidR="002623EB" w:rsidRPr="008E49A5" w:rsidRDefault="007B23F1" w:rsidP="002623EB">
      <w:pPr>
        <w:pStyle w:val="Heading1"/>
        <w:spacing w:before="11" w:after="0"/>
        <w:rPr>
          <w:lang w:val="fr-FR"/>
        </w:rPr>
      </w:pPr>
      <w:r w:rsidRPr="008E49A5">
        <w:rPr>
          <w:lang w:val="fr-FR"/>
        </w:rPr>
        <w:t>Annexe</w:t>
      </w:r>
    </w:p>
    <w:p w14:paraId="63FC6C15" w14:textId="77777777" w:rsidR="002623EB" w:rsidRPr="008E49A5" w:rsidRDefault="002623EB" w:rsidP="007B23F1">
      <w:pPr>
        <w:pStyle w:val="Heading1"/>
        <w:numPr>
          <w:ilvl w:val="0"/>
          <w:numId w:val="0"/>
        </w:numPr>
        <w:spacing w:before="11" w:after="0" w:line="276" w:lineRule="auto"/>
        <w:rPr>
          <w:rFonts w:asciiTheme="minorHAnsi" w:hAnsiTheme="minorHAnsi" w:cstheme="minorHAnsi"/>
          <w:sz w:val="22"/>
          <w:szCs w:val="22"/>
          <w:lang w:val="fr-FR"/>
        </w:rPr>
      </w:pPr>
    </w:p>
    <w:p w14:paraId="5CBF822D" w14:textId="77777777" w:rsidR="007B23F1" w:rsidRPr="008E49A5" w:rsidRDefault="007B23F1" w:rsidP="007B23F1">
      <w:pPr>
        <w:spacing w:line="276" w:lineRule="auto"/>
        <w:rPr>
          <w:rFonts w:cstheme="minorHAnsi"/>
          <w:b/>
          <w:sz w:val="22"/>
          <w:szCs w:val="22"/>
          <w:u w:val="single"/>
          <w:lang w:val="fr-FR"/>
        </w:rPr>
      </w:pPr>
      <w:r w:rsidRPr="008E49A5">
        <w:rPr>
          <w:rFonts w:cstheme="minorHAnsi"/>
          <w:b/>
          <w:sz w:val="22"/>
          <w:szCs w:val="22"/>
          <w:u w:val="single"/>
          <w:lang w:val="fr-FR"/>
        </w:rPr>
        <w:t xml:space="preserve">MODELE DE LETTRE DE SOUMISSION </w:t>
      </w:r>
    </w:p>
    <w:p w14:paraId="39F1D855" w14:textId="77777777" w:rsidR="007B23F1" w:rsidRPr="008E49A5" w:rsidRDefault="007B23F1" w:rsidP="007B23F1">
      <w:pPr>
        <w:spacing w:line="276" w:lineRule="auto"/>
        <w:rPr>
          <w:rFonts w:cstheme="minorHAnsi"/>
          <w:sz w:val="22"/>
          <w:szCs w:val="22"/>
          <w:lang w:val="fr-FR"/>
        </w:rPr>
      </w:pPr>
      <w:r w:rsidRPr="008E49A5">
        <w:rPr>
          <w:rFonts w:cstheme="minorHAnsi"/>
          <w:sz w:val="22"/>
          <w:szCs w:val="22"/>
          <w:lang w:val="fr-FR"/>
        </w:rPr>
        <w:t>[Lieu, date]</w:t>
      </w:r>
    </w:p>
    <w:p w14:paraId="0E050282" w14:textId="77777777" w:rsidR="007B23F1" w:rsidRPr="008E49A5" w:rsidRDefault="007B23F1" w:rsidP="007B23F1">
      <w:pPr>
        <w:spacing w:line="276" w:lineRule="auto"/>
        <w:rPr>
          <w:rFonts w:cstheme="minorHAnsi"/>
          <w:sz w:val="22"/>
          <w:szCs w:val="22"/>
          <w:lang w:val="fr-FR"/>
        </w:rPr>
      </w:pPr>
      <w:r w:rsidRPr="008E49A5">
        <w:rPr>
          <w:rFonts w:cstheme="minorHAnsi"/>
          <w:sz w:val="22"/>
          <w:szCs w:val="22"/>
          <w:lang w:val="fr-FR"/>
        </w:rPr>
        <w:t>À :</w:t>
      </w:r>
      <w:r w:rsidRPr="008E49A5">
        <w:rPr>
          <w:rFonts w:cstheme="minorHAnsi"/>
          <w:sz w:val="22"/>
          <w:szCs w:val="22"/>
          <w:lang w:val="fr-FR"/>
        </w:rPr>
        <w:tab/>
        <w:t>[Nom et adresse de l’Autorité contractante]</w:t>
      </w:r>
    </w:p>
    <w:p w14:paraId="62C306A9" w14:textId="77777777" w:rsidR="007B23F1" w:rsidRPr="008E49A5" w:rsidRDefault="007B23F1" w:rsidP="007B23F1">
      <w:pPr>
        <w:spacing w:line="276" w:lineRule="auto"/>
        <w:jc w:val="both"/>
        <w:rPr>
          <w:rFonts w:cstheme="minorHAnsi"/>
          <w:sz w:val="22"/>
          <w:szCs w:val="22"/>
          <w:lang w:val="fr-FR"/>
        </w:rPr>
      </w:pPr>
    </w:p>
    <w:p w14:paraId="713DEF98" w14:textId="5EFB1E37" w:rsidR="007B23F1" w:rsidRPr="008E49A5" w:rsidRDefault="007B23F1" w:rsidP="007B23F1">
      <w:pPr>
        <w:spacing w:line="276" w:lineRule="auto"/>
        <w:jc w:val="both"/>
        <w:rPr>
          <w:rFonts w:cstheme="minorHAnsi"/>
          <w:sz w:val="22"/>
          <w:szCs w:val="22"/>
          <w:lang w:val="fr-FR"/>
        </w:rPr>
      </w:pPr>
      <w:r w:rsidRPr="008E49A5">
        <w:rPr>
          <w:rFonts w:cstheme="minorHAnsi"/>
          <w:sz w:val="22"/>
          <w:szCs w:val="22"/>
          <w:lang w:val="fr-FR"/>
        </w:rPr>
        <w:t>Madame/Monsieur,</w:t>
      </w:r>
    </w:p>
    <w:p w14:paraId="777502D8" w14:textId="77777777" w:rsidR="007B23F1" w:rsidRPr="008E49A5" w:rsidRDefault="007B23F1" w:rsidP="007B23F1">
      <w:pPr>
        <w:spacing w:line="276" w:lineRule="auto"/>
        <w:jc w:val="both"/>
        <w:rPr>
          <w:rFonts w:cstheme="minorHAnsi"/>
          <w:sz w:val="22"/>
          <w:szCs w:val="22"/>
          <w:lang w:val="fr-FR"/>
        </w:rPr>
      </w:pPr>
    </w:p>
    <w:p w14:paraId="701D8729" w14:textId="2ED333BF" w:rsidR="007B23F1" w:rsidRPr="008E49A5" w:rsidRDefault="007B23F1" w:rsidP="007B23F1">
      <w:pPr>
        <w:spacing w:line="276" w:lineRule="auto"/>
        <w:jc w:val="both"/>
        <w:rPr>
          <w:rFonts w:cstheme="minorHAnsi"/>
          <w:sz w:val="22"/>
          <w:szCs w:val="22"/>
          <w:lang w:val="fr-FR"/>
        </w:rPr>
      </w:pPr>
      <w:r w:rsidRPr="008E49A5">
        <w:rPr>
          <w:rFonts w:cstheme="minorHAnsi"/>
          <w:sz w:val="22"/>
          <w:szCs w:val="22"/>
          <w:lang w:val="fr-FR"/>
        </w:rPr>
        <w:t>Nous, soussignés, avons l’honneur de vous proposer nos services, à titre de consultant, pour [titre de la mission] conformément à votre Demande de propositions en date du [date] et à notre Proposition technique. Vous trouverez ci-joint notre Proposition financière qui s’élève à [montant en lettres et en chiffres] FCFA, toutes taxes comprises.</w:t>
      </w:r>
    </w:p>
    <w:p w14:paraId="37D7344B" w14:textId="77777777" w:rsidR="007B23F1" w:rsidRPr="008E49A5" w:rsidRDefault="007B23F1" w:rsidP="007B23F1">
      <w:pPr>
        <w:spacing w:line="276" w:lineRule="auto"/>
        <w:jc w:val="both"/>
        <w:rPr>
          <w:rFonts w:cstheme="minorHAnsi"/>
          <w:sz w:val="22"/>
          <w:szCs w:val="22"/>
          <w:lang w:val="fr-FR"/>
        </w:rPr>
      </w:pPr>
      <w:r w:rsidRPr="008E49A5">
        <w:rPr>
          <w:rFonts w:cstheme="minorHAnsi"/>
          <w:sz w:val="22"/>
          <w:szCs w:val="22"/>
          <w:lang w:val="fr-FR"/>
        </w:rPr>
        <w:t xml:space="preserve">Notre Proposition financière a pour nous force obligatoire, sous réserve des modifications résultant de la négociation du Marché, jusqu’à l’expiration du délai de validité de la Proposition, </w:t>
      </w:r>
    </w:p>
    <w:p w14:paraId="55FDF996" w14:textId="77777777" w:rsidR="007B23F1" w:rsidRPr="008E49A5" w:rsidRDefault="007B23F1" w:rsidP="007B23F1">
      <w:pPr>
        <w:spacing w:line="276" w:lineRule="auto"/>
        <w:jc w:val="both"/>
        <w:rPr>
          <w:rFonts w:cstheme="minorHAnsi"/>
          <w:sz w:val="22"/>
          <w:szCs w:val="22"/>
          <w:lang w:val="fr-FR"/>
        </w:rPr>
      </w:pPr>
      <w:r w:rsidRPr="008E49A5">
        <w:rPr>
          <w:rFonts w:cstheme="minorHAnsi"/>
          <w:sz w:val="22"/>
          <w:szCs w:val="22"/>
          <w:lang w:val="fr-FR"/>
        </w:rPr>
        <w:t>Nous nous engageons à ne pas octroyer ou promettre d'octroyer à toute personne intervenant à quelque titre que ce soit dans la procédure de passation du marché un avantage indu, pécuniaire ou autre, directement ou par des intermédiaires, en vue d'obtenir le marché, comme en atteste le formulaire d’engagement ci-joint, signé par nos soins.</w:t>
      </w:r>
    </w:p>
    <w:p w14:paraId="0B5CCF41" w14:textId="77777777" w:rsidR="007B23F1" w:rsidRPr="008E49A5" w:rsidRDefault="007B23F1" w:rsidP="007B23F1">
      <w:pPr>
        <w:spacing w:line="276" w:lineRule="auto"/>
        <w:jc w:val="both"/>
        <w:rPr>
          <w:rFonts w:cstheme="minorHAnsi"/>
          <w:sz w:val="22"/>
          <w:szCs w:val="22"/>
          <w:lang w:val="fr-FR"/>
        </w:rPr>
      </w:pPr>
      <w:r w:rsidRPr="008E49A5">
        <w:rPr>
          <w:rFonts w:cstheme="minorHAnsi"/>
          <w:sz w:val="22"/>
          <w:szCs w:val="22"/>
          <w:lang w:val="fr-FR"/>
        </w:rPr>
        <w:t>Veuillez agréer, Madame/Monsieur, l’assurance de notre considération distinguée.</w:t>
      </w:r>
    </w:p>
    <w:p w14:paraId="0287A957" w14:textId="77777777" w:rsidR="007B23F1" w:rsidRPr="008E49A5" w:rsidRDefault="007B23F1" w:rsidP="007B23F1">
      <w:pPr>
        <w:spacing w:line="276" w:lineRule="auto"/>
        <w:rPr>
          <w:rFonts w:cstheme="minorHAnsi"/>
          <w:sz w:val="22"/>
          <w:szCs w:val="22"/>
          <w:lang w:val="fr-FR"/>
        </w:rPr>
      </w:pPr>
    </w:p>
    <w:p w14:paraId="29780EFA" w14:textId="77777777" w:rsidR="007B23F1" w:rsidRPr="008E49A5" w:rsidRDefault="007B23F1" w:rsidP="007B23F1">
      <w:pPr>
        <w:spacing w:line="276" w:lineRule="auto"/>
        <w:rPr>
          <w:rFonts w:cstheme="minorHAnsi"/>
          <w:sz w:val="22"/>
          <w:szCs w:val="22"/>
          <w:lang w:val="fr-FR"/>
        </w:rPr>
      </w:pPr>
      <w:r w:rsidRPr="008E49A5">
        <w:rPr>
          <w:rFonts w:cstheme="minorHAnsi"/>
          <w:sz w:val="22"/>
          <w:szCs w:val="22"/>
          <w:lang w:val="fr-FR"/>
        </w:rPr>
        <w:t>Signature du représentant habilité :   __________________________________________</w:t>
      </w:r>
    </w:p>
    <w:p w14:paraId="7DE35247" w14:textId="77777777" w:rsidR="007B23F1" w:rsidRPr="008E49A5" w:rsidRDefault="007B23F1" w:rsidP="007B23F1">
      <w:pPr>
        <w:spacing w:line="276" w:lineRule="auto"/>
        <w:rPr>
          <w:rFonts w:cstheme="minorHAnsi"/>
          <w:sz w:val="22"/>
          <w:szCs w:val="22"/>
          <w:lang w:val="fr-FR"/>
        </w:rPr>
      </w:pPr>
      <w:r w:rsidRPr="008E49A5">
        <w:rPr>
          <w:rFonts w:cstheme="minorHAnsi"/>
          <w:sz w:val="22"/>
          <w:szCs w:val="22"/>
          <w:lang w:val="fr-FR"/>
        </w:rPr>
        <w:t>Nom et titre du signataire : ___________________________________________________</w:t>
      </w:r>
    </w:p>
    <w:p w14:paraId="14D86D40" w14:textId="77777777" w:rsidR="007B23F1" w:rsidRPr="008E49A5" w:rsidRDefault="007B23F1" w:rsidP="007B23F1">
      <w:pPr>
        <w:spacing w:line="276" w:lineRule="auto"/>
        <w:rPr>
          <w:rFonts w:cstheme="minorHAnsi"/>
          <w:sz w:val="22"/>
          <w:szCs w:val="22"/>
          <w:lang w:val="fr-FR"/>
        </w:rPr>
      </w:pPr>
      <w:r w:rsidRPr="008E49A5">
        <w:rPr>
          <w:rFonts w:cstheme="minorHAnsi"/>
          <w:sz w:val="22"/>
          <w:szCs w:val="22"/>
          <w:lang w:val="fr-FR"/>
        </w:rPr>
        <w:t>Adresse du signataire :   ______________________________________________________</w:t>
      </w:r>
    </w:p>
    <w:p w14:paraId="4DE3E2AD" w14:textId="77777777" w:rsidR="007B23F1" w:rsidRPr="008E49A5" w:rsidRDefault="007B23F1" w:rsidP="007B23F1">
      <w:pPr>
        <w:spacing w:line="276" w:lineRule="auto"/>
        <w:rPr>
          <w:rFonts w:cstheme="minorHAnsi"/>
          <w:sz w:val="22"/>
          <w:szCs w:val="22"/>
          <w:lang w:val="fr-FR"/>
        </w:rPr>
      </w:pPr>
      <w:r w:rsidRPr="008E49A5">
        <w:rPr>
          <w:rFonts w:cstheme="minorHAnsi"/>
          <w:sz w:val="22"/>
          <w:szCs w:val="22"/>
          <w:lang w:val="fr-FR"/>
        </w:rPr>
        <w:lastRenderedPageBreak/>
        <w:t>Nom et adresse du Candidat : ________________________________________________</w:t>
      </w:r>
    </w:p>
    <w:p w14:paraId="3A7BEA0E" w14:textId="77777777" w:rsidR="007B23F1" w:rsidRPr="008E49A5" w:rsidRDefault="007B23F1" w:rsidP="007B23F1">
      <w:pPr>
        <w:rPr>
          <w:rFonts w:asciiTheme="majorHAnsi" w:hAnsiTheme="majorHAnsi" w:cstheme="majorHAnsi"/>
          <w:lang w:val="fr-FR"/>
        </w:rPr>
      </w:pPr>
    </w:p>
    <w:p w14:paraId="44D42CCE" w14:textId="77777777" w:rsidR="002623EB" w:rsidRPr="008E49A5" w:rsidRDefault="002623EB" w:rsidP="002623EB">
      <w:pPr>
        <w:pStyle w:val="Heading1"/>
        <w:numPr>
          <w:ilvl w:val="0"/>
          <w:numId w:val="0"/>
        </w:numPr>
        <w:spacing w:before="11" w:after="0"/>
        <w:rPr>
          <w:lang w:val="fr-FR"/>
        </w:rPr>
      </w:pPr>
    </w:p>
    <w:p w14:paraId="1AC7A3F8" w14:textId="77777777" w:rsidR="002623EB" w:rsidRPr="008E49A5" w:rsidRDefault="002623EB" w:rsidP="00D627B5">
      <w:pPr>
        <w:rPr>
          <w:lang w:val="fr-FR"/>
        </w:rPr>
      </w:pPr>
    </w:p>
    <w:p w14:paraId="77EA1F5B" w14:textId="77777777" w:rsidR="00E319D6" w:rsidRPr="008E49A5" w:rsidRDefault="00E319D6" w:rsidP="00E319D6">
      <w:pPr>
        <w:rPr>
          <w:rFonts w:cstheme="minorHAnsi"/>
          <w:color w:val="000000" w:themeColor="text1"/>
          <w:lang w:val="fr-FR"/>
        </w:rPr>
      </w:pPr>
    </w:p>
    <w:p w14:paraId="6BC1E416" w14:textId="77777777" w:rsidR="00E319D6" w:rsidRPr="008E49A5" w:rsidRDefault="00E319D6" w:rsidP="00E319D6">
      <w:pPr>
        <w:rPr>
          <w:lang w:val="fr-FR"/>
        </w:rPr>
      </w:pPr>
    </w:p>
    <w:sectPr w:rsidR="00E319D6" w:rsidRPr="008E49A5" w:rsidSect="006A36A1">
      <w:headerReference w:type="default" r:id="rId15"/>
      <w:footerReference w:type="default" r:id="rId16"/>
      <w:headerReference w:type="first" r:id="rId17"/>
      <w:footerReference w:type="first" r:id="rId18"/>
      <w:pgSz w:w="11906" w:h="16838" w:code="9"/>
      <w:pgMar w:top="3119" w:right="1469" w:bottom="1701"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65607" w14:textId="77777777" w:rsidR="009636F1" w:rsidRDefault="009636F1" w:rsidP="002419DA">
      <w:pPr>
        <w:spacing w:line="240" w:lineRule="auto"/>
      </w:pPr>
      <w:r>
        <w:separator/>
      </w:r>
    </w:p>
  </w:endnote>
  <w:endnote w:type="continuationSeparator" w:id="0">
    <w:p w14:paraId="6156A0A7" w14:textId="77777777" w:rsidR="009636F1" w:rsidRDefault="009636F1" w:rsidP="00241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E82C" w14:textId="77777777" w:rsidR="000327F0" w:rsidRPr="00975D3E" w:rsidRDefault="000327F0" w:rsidP="000327F0">
    <w:pPr>
      <w:pStyle w:val="Footer"/>
      <w:jc w:val="right"/>
      <w:rPr>
        <w:lang w:val="en-US"/>
      </w:rPr>
    </w:pPr>
    <w:r>
      <w:rPr>
        <w:lang w:val="en-US"/>
      </w:rPr>
      <w:fldChar w:fldCharType="begin"/>
    </w:r>
    <w:r>
      <w:rPr>
        <w:lang w:val="en-US"/>
      </w:rPr>
      <w:instrText xml:space="preserve"> PAGE  \* Arabic </w:instrText>
    </w:r>
    <w:r>
      <w:rPr>
        <w:lang w:val="en-US"/>
      </w:rPr>
      <w:fldChar w:fldCharType="separate"/>
    </w:r>
    <w:r>
      <w:rPr>
        <w:lang w:val="en-US"/>
      </w:rPr>
      <w:t>2</w:t>
    </w:r>
    <w:r>
      <w:rPr>
        <w:lang w:val="en-US"/>
      </w:rPr>
      <w:fldChar w:fldCharType="end"/>
    </w:r>
    <w:r>
      <w:rPr>
        <w:lang w:val="en-US"/>
      </w:rPr>
      <w:t xml:space="preserve"> / </w:t>
    </w:r>
    <w:r>
      <w:rPr>
        <w:lang w:val="en-US"/>
      </w:rPr>
      <w:fldChar w:fldCharType="begin"/>
    </w:r>
    <w:r>
      <w:rPr>
        <w:lang w:val="en-US"/>
      </w:rPr>
      <w:instrText xml:space="preserve"> NUMPAGES  \* Arabic </w:instrText>
    </w:r>
    <w:r>
      <w:rPr>
        <w:lang w:val="en-US"/>
      </w:rPr>
      <w:fldChar w:fldCharType="separate"/>
    </w:r>
    <w:r>
      <w:rPr>
        <w:lang w:val="en-US"/>
      </w:rPr>
      <w:t>3</w:t>
    </w:r>
    <w:r>
      <w:rPr>
        <w:lang w:val="en-US"/>
      </w:rPr>
      <w:fldChar w:fldCharType="end"/>
    </w:r>
  </w:p>
  <w:p w14:paraId="33B7A66B" w14:textId="77777777" w:rsidR="00975D3E" w:rsidRPr="00975D3E" w:rsidRDefault="00975D3E" w:rsidP="00902DAF">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Margin"/>
      <w:tblW w:w="10545" w:type="dxa"/>
      <w:tblInd w:w="-567" w:type="dxa"/>
      <w:tblLook w:val="04A0" w:firstRow="1" w:lastRow="0" w:firstColumn="1" w:lastColumn="0" w:noHBand="0" w:noVBand="1"/>
    </w:tblPr>
    <w:tblGrid>
      <w:gridCol w:w="4536"/>
      <w:gridCol w:w="3515"/>
      <w:gridCol w:w="2494"/>
    </w:tblGrid>
    <w:tr w:rsidR="005B4F41" w14:paraId="0E017581" w14:textId="77777777" w:rsidTr="005B4F41">
      <w:tc>
        <w:tcPr>
          <w:tcW w:w="4536" w:type="dxa"/>
          <w:vAlign w:val="bottom"/>
        </w:tcPr>
        <w:p w14:paraId="7C3D0463" w14:textId="77777777" w:rsidR="000C1D84" w:rsidRDefault="000C1D84" w:rsidP="005B4F41">
          <w:pPr>
            <w:pStyle w:val="Footer"/>
          </w:pPr>
        </w:p>
      </w:tc>
      <w:tc>
        <w:tcPr>
          <w:tcW w:w="3515" w:type="dxa"/>
          <w:tcMar>
            <w:left w:w="992" w:type="dxa"/>
          </w:tcMar>
          <w:vAlign w:val="bottom"/>
        </w:tcPr>
        <w:p w14:paraId="4BDE4093" w14:textId="77777777" w:rsidR="000C1D84" w:rsidRPr="00233F7F" w:rsidRDefault="000C1D84" w:rsidP="00233F7F">
          <w:pPr>
            <w:pStyle w:val="Footer"/>
          </w:pPr>
        </w:p>
      </w:tc>
      <w:tc>
        <w:tcPr>
          <w:tcW w:w="2494" w:type="dxa"/>
          <w:vAlign w:val="bottom"/>
        </w:tcPr>
        <w:p w14:paraId="286035EC" w14:textId="77777777" w:rsidR="000C1D84" w:rsidRPr="002503B1" w:rsidRDefault="000C1D84" w:rsidP="00233F7F">
          <w:pPr>
            <w:pStyle w:val="Footer"/>
            <w:rPr>
              <w:rFonts w:asciiTheme="majorHAnsi" w:hAnsiTheme="majorHAnsi"/>
              <w:b/>
              <w:bCs/>
            </w:rPr>
          </w:pPr>
        </w:p>
      </w:tc>
    </w:tr>
  </w:tbl>
  <w:p w14:paraId="69059660" w14:textId="77777777" w:rsidR="002419DA" w:rsidRDefault="00233F7F" w:rsidP="00233F7F">
    <w:pPr>
      <w:pStyle w:val="Footer"/>
      <w:tabs>
        <w:tab w:val="left" w:pos="4820"/>
      </w:tabs>
      <w:spacing w:line="14" w:lineRule="exact"/>
    </w:pPr>
    <w:r>
      <mc:AlternateContent>
        <mc:Choice Requires="wps">
          <w:drawing>
            <wp:anchor distT="0" distB="0" distL="114300" distR="114300" simplePos="0" relativeHeight="251667456" behindDoc="1" locked="1" layoutInCell="1" allowOverlap="1" wp14:anchorId="564540DE" wp14:editId="39D671F8">
              <wp:simplePos x="0" y="0"/>
              <wp:positionH relativeFrom="page">
                <wp:align>right</wp:align>
              </wp:positionH>
              <wp:positionV relativeFrom="page">
                <wp:align>bottom</wp:align>
              </wp:positionV>
              <wp:extent cx="3855601" cy="2268000"/>
              <wp:effectExtent l="0" t="0" r="0" b="0"/>
              <wp:wrapNone/>
              <wp:docPr id="175708689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601" cy="2268000"/>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29AD7" id="Graphic 7" o:spid="_x0000_s1026" alt="&quot;&quot;" style="position:absolute;margin-left:252.4pt;margin-top:0;width:303.6pt;height:178.6pt;z-index:-25164902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" path="m1627661,62190l259941,852259c117393,935179,,1137355,,1302263r,354040l2816496,1656303r,-1207463l2147543,62190v-142548,-82920,-377334,-82920,-519882,xe" fillcolor="#eff8fe" stroked="f" strokeweight="0">
              <v:stroke joinstyle="miter"/>
              <v:path arrowok="t" o:connecttype="custom" o:connectlocs="2228164,85158;355843,1167011;0,1783208;0,2268000;3855602,2268000;3855602,614603;2939849,85158;2228164,85158" o:connectangles="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19A4E" w14:textId="77777777" w:rsidR="009636F1" w:rsidRDefault="009636F1" w:rsidP="002419DA">
      <w:pPr>
        <w:spacing w:line="240" w:lineRule="auto"/>
      </w:pPr>
      <w:r>
        <w:separator/>
      </w:r>
    </w:p>
  </w:footnote>
  <w:footnote w:type="continuationSeparator" w:id="0">
    <w:p w14:paraId="31287FEB" w14:textId="77777777" w:rsidR="009636F1" w:rsidRDefault="009636F1" w:rsidP="002419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BEE4" w14:textId="77777777" w:rsidR="002419DA" w:rsidRPr="008E49A5" w:rsidRDefault="009128CE">
    <w:pPr>
      <w:pStyle w:val="Header"/>
      <w:rPr>
        <w:lang w:val="fr-FR"/>
      </w:rPr>
    </w:pPr>
    <w:r w:rsidRPr="008E49A5">
      <w:rPr>
        <w:lang w:val="fr-FR"/>
      </w:rPr>
      <w:drawing>
        <wp:anchor distT="0" distB="0" distL="114300" distR="114300" simplePos="0" relativeHeight="251670528" behindDoc="0" locked="0" layoutInCell="1" allowOverlap="1" wp14:anchorId="3B286595" wp14:editId="0BF8CC0D">
          <wp:simplePos x="0" y="0"/>
          <wp:positionH relativeFrom="page">
            <wp:posOffset>488950</wp:posOffset>
          </wp:positionH>
          <wp:positionV relativeFrom="page">
            <wp:posOffset>489743</wp:posOffset>
          </wp:positionV>
          <wp:extent cx="2231390" cy="1114109"/>
          <wp:effectExtent l="0" t="0" r="0" b="0"/>
          <wp:wrapNone/>
          <wp:docPr id="829475059"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75059" name="Afbeelding 8"/>
                  <pic:cNvPicPr/>
                </pic:nvPicPr>
                <pic:blipFill>
                  <a:blip r:embed="rId1">
                    <a:extLst>
                      <a:ext uri="{28A0092B-C50C-407E-A947-70E740481C1C}">
                        <a14:useLocalDpi xmlns:a14="http://schemas.microsoft.com/office/drawing/2010/main" val="0"/>
                      </a:ext>
                    </a:extLst>
                  </a:blip>
                  <a:stretch>
                    <a:fillRect/>
                  </a:stretch>
                </pic:blipFill>
                <pic:spPr>
                  <a:xfrm>
                    <a:off x="0" y="0"/>
                    <a:ext cx="2231390" cy="1114109"/>
                  </a:xfrm>
                  <a:prstGeom prst="rect">
                    <a:avLst/>
                  </a:prstGeom>
                </pic:spPr>
              </pic:pic>
            </a:graphicData>
          </a:graphic>
          <wp14:sizeRelH relativeFrom="margin">
            <wp14:pctWidth>0</wp14:pctWidth>
          </wp14:sizeRelH>
          <wp14:sizeRelV relativeFrom="margin">
            <wp14:pctHeight>0</wp14:pctHeight>
          </wp14:sizeRelV>
        </wp:anchor>
      </w:drawing>
    </w:r>
    <w:r w:rsidR="00D628DB" w:rsidRPr="008E49A5">
      <w:rPr>
        <w:lang w:val="fr-FR"/>
      </w:rPr>
      <mc:AlternateContent>
        <mc:Choice Requires="wps">
          <w:drawing>
            <wp:anchor distT="0" distB="0" distL="114300" distR="114300" simplePos="0" relativeHeight="251674624" behindDoc="0" locked="0" layoutInCell="1" allowOverlap="1" wp14:anchorId="4DFB86A7" wp14:editId="4569A3C9">
              <wp:simplePos x="0" y="0"/>
              <wp:positionH relativeFrom="column">
                <wp:posOffset>2860760</wp:posOffset>
              </wp:positionH>
              <wp:positionV relativeFrom="paragraph">
                <wp:posOffset>887104</wp:posOffset>
              </wp:positionV>
              <wp:extent cx="2797420" cy="317110"/>
              <wp:effectExtent l="0" t="0" r="3175" b="6985"/>
              <wp:wrapNone/>
              <wp:docPr id="2107794691" name="Text Box 3"/>
              <wp:cNvGraphicFramePr/>
              <a:graphic xmlns:a="http://schemas.openxmlformats.org/drawingml/2006/main">
                <a:graphicData uri="http://schemas.microsoft.com/office/word/2010/wordprocessingShape">
                  <wps:wsp>
                    <wps:cNvSpPr txBox="1"/>
                    <wps:spPr>
                      <a:xfrm>
                        <a:off x="0" y="0"/>
                        <a:ext cx="2797420" cy="317110"/>
                      </a:xfrm>
                      <a:prstGeom prst="rect">
                        <a:avLst/>
                      </a:prstGeom>
                      <a:solidFill>
                        <a:schemeClr val="lt1"/>
                      </a:solidFill>
                      <a:ln w="6350">
                        <a:noFill/>
                      </a:ln>
                    </wps:spPr>
                    <wps:txbx>
                      <w:txbxContent>
                        <w:p w14:paraId="72DF1174" w14:textId="11894E81" w:rsidR="00D628DB" w:rsidRPr="00D628DB" w:rsidRDefault="007B23F1" w:rsidP="00D628DB">
                          <w:pPr>
                            <w:jc w:val="right"/>
                            <w:rPr>
                              <w:rFonts w:asciiTheme="majorHAnsi" w:hAnsiTheme="majorHAnsi" w:cstheme="majorHAnsi"/>
                              <w:b/>
                              <w:bCs/>
                              <w:color w:val="375380" w:themeColor="text2"/>
                              <w:sz w:val="32"/>
                              <w:szCs w:val="32"/>
                            </w:rPr>
                          </w:pPr>
                          <w:r w:rsidRPr="007B23F1">
                            <w:rPr>
                              <w:rFonts w:asciiTheme="majorHAnsi" w:hAnsiTheme="majorHAnsi" w:cstheme="majorHAnsi"/>
                              <w:b/>
                              <w:bCs/>
                              <w:color w:val="375380" w:themeColor="text2"/>
                              <w:sz w:val="32"/>
                              <w:szCs w:val="32"/>
                            </w:rPr>
                            <w:t xml:space="preserve">Termes de </w:t>
                          </w:r>
                          <w:r w:rsidRPr="008E49A5">
                            <w:rPr>
                              <w:rFonts w:asciiTheme="majorHAnsi" w:hAnsiTheme="majorHAnsi" w:cstheme="majorHAnsi"/>
                              <w:b/>
                              <w:bCs/>
                              <w:color w:val="375380" w:themeColor="text2"/>
                              <w:sz w:val="32"/>
                              <w:szCs w:val="32"/>
                              <w:lang w:val="fr-FR"/>
                            </w:rPr>
                            <w:t>Référence</w:t>
                          </w:r>
                          <w:r w:rsidRPr="007B23F1">
                            <w:rPr>
                              <w:rFonts w:asciiTheme="majorHAnsi" w:hAnsiTheme="majorHAnsi" w:cstheme="majorHAnsi"/>
                              <w:b/>
                              <w:bCs/>
                              <w:color w:val="375380" w:themeColor="text2"/>
                              <w:sz w:val="32"/>
                              <w:szCs w:val="32"/>
                            </w:rPr>
                            <w:t xml:space="preserve"> (</w:t>
                          </w:r>
                          <w:proofErr w:type="spellStart"/>
                          <w:r w:rsidRPr="007B23F1">
                            <w:rPr>
                              <w:rFonts w:asciiTheme="majorHAnsi" w:hAnsiTheme="majorHAnsi" w:cstheme="majorHAnsi"/>
                              <w:b/>
                              <w:bCs/>
                              <w:color w:val="375380" w:themeColor="text2"/>
                              <w:sz w:val="32"/>
                              <w:szCs w:val="32"/>
                            </w:rPr>
                            <w:t>TdR</w:t>
                          </w:r>
                          <w:proofErr w:type="spellEnd"/>
                          <w:r w:rsidRPr="007B23F1">
                            <w:rPr>
                              <w:rFonts w:asciiTheme="majorHAnsi" w:hAnsiTheme="majorHAnsi" w:cstheme="majorHAnsi"/>
                              <w:b/>
                              <w:bCs/>
                              <w:color w:val="375380" w:themeColor="text2"/>
                              <w:sz w:val="32"/>
                              <w:szCs w:val="32"/>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B86A7" id="_x0000_t202" coordsize="21600,21600" o:spt="202" path="m,l,21600r21600,l21600,xe">
              <v:stroke joinstyle="miter"/>
              <v:path gradientshapeok="t" o:connecttype="rect"/>
            </v:shapetype>
            <v:shape id="Text Box 3" o:spid="_x0000_s1026" type="#_x0000_t202" style="position:absolute;margin-left:225.25pt;margin-top:69.85pt;width:220.25pt;height:2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" fillcolor="white [3201]" stroked="f" strokeweight=".5pt">
              <v:textbox inset="1mm,1mm,1mm,1mm">
                <w:txbxContent>
                  <w:p w14:paraId="72DF1174" w14:textId="11894E81" w:rsidR="00D628DB" w:rsidRPr="00D628DB" w:rsidRDefault="007B23F1" w:rsidP="00D628DB">
                    <w:pPr>
                      <w:jc w:val="right"/>
                      <w:rPr>
                        <w:rFonts w:asciiTheme="majorHAnsi" w:hAnsiTheme="majorHAnsi" w:cstheme="majorHAnsi"/>
                        <w:b/>
                        <w:bCs/>
                        <w:color w:val="375380" w:themeColor="text2"/>
                        <w:sz w:val="32"/>
                        <w:szCs w:val="32"/>
                      </w:rPr>
                    </w:pPr>
                    <w:r w:rsidRPr="007B23F1">
                      <w:rPr>
                        <w:rFonts w:asciiTheme="majorHAnsi" w:hAnsiTheme="majorHAnsi" w:cstheme="majorHAnsi"/>
                        <w:b/>
                        <w:bCs/>
                        <w:color w:val="375380" w:themeColor="text2"/>
                        <w:sz w:val="32"/>
                        <w:szCs w:val="32"/>
                      </w:rPr>
                      <w:t xml:space="preserve">Termes de </w:t>
                    </w:r>
                    <w:r w:rsidRPr="008E49A5">
                      <w:rPr>
                        <w:rFonts w:asciiTheme="majorHAnsi" w:hAnsiTheme="majorHAnsi" w:cstheme="majorHAnsi"/>
                        <w:b/>
                        <w:bCs/>
                        <w:color w:val="375380" w:themeColor="text2"/>
                        <w:sz w:val="32"/>
                        <w:szCs w:val="32"/>
                        <w:lang w:val="fr-FR"/>
                      </w:rPr>
                      <w:t>Référence</w:t>
                    </w:r>
                    <w:r w:rsidRPr="007B23F1">
                      <w:rPr>
                        <w:rFonts w:asciiTheme="majorHAnsi" w:hAnsiTheme="majorHAnsi" w:cstheme="majorHAnsi"/>
                        <w:b/>
                        <w:bCs/>
                        <w:color w:val="375380" w:themeColor="text2"/>
                        <w:sz w:val="32"/>
                        <w:szCs w:val="32"/>
                      </w:rPr>
                      <w:t xml:space="preserve"> (</w:t>
                    </w:r>
                    <w:proofErr w:type="spellStart"/>
                    <w:r w:rsidRPr="007B23F1">
                      <w:rPr>
                        <w:rFonts w:asciiTheme="majorHAnsi" w:hAnsiTheme="majorHAnsi" w:cstheme="majorHAnsi"/>
                        <w:b/>
                        <w:bCs/>
                        <w:color w:val="375380" w:themeColor="text2"/>
                        <w:sz w:val="32"/>
                        <w:szCs w:val="32"/>
                      </w:rPr>
                      <w:t>TdR</w:t>
                    </w:r>
                    <w:proofErr w:type="spellEnd"/>
                    <w:r w:rsidRPr="007B23F1">
                      <w:rPr>
                        <w:rFonts w:asciiTheme="majorHAnsi" w:hAnsiTheme="majorHAnsi" w:cstheme="majorHAnsi"/>
                        <w:b/>
                        <w:bCs/>
                        <w:color w:val="375380" w:themeColor="text2"/>
                        <w:sz w:val="32"/>
                        <w:szCs w:val="32"/>
                      </w:rPr>
                      <w:t>)</w:t>
                    </w:r>
                  </w:p>
                </w:txbxContent>
              </v:textbox>
            </v:shape>
          </w:pict>
        </mc:Fallback>
      </mc:AlternateContent>
    </w:r>
    <w:r w:rsidR="000D0B3D" w:rsidRPr="008E49A5">
      <w:rPr>
        <w:lang w:val="fr-FR"/>
      </w:rPr>
      <mc:AlternateContent>
        <mc:Choice Requires="wps">
          <w:drawing>
            <wp:anchor distT="0" distB="0" distL="114300" distR="114300" simplePos="0" relativeHeight="251672576" behindDoc="1" locked="1" layoutInCell="1" allowOverlap="1" wp14:anchorId="00BD3E2D" wp14:editId="7706E3E4">
              <wp:simplePos x="0" y="0"/>
              <wp:positionH relativeFrom="page">
                <wp:posOffset>4181475</wp:posOffset>
              </wp:positionH>
              <wp:positionV relativeFrom="page">
                <wp:posOffset>8891270</wp:posOffset>
              </wp:positionV>
              <wp:extent cx="3855085" cy="2267585"/>
              <wp:effectExtent l="0" t="0" r="0" b="0"/>
              <wp:wrapNone/>
              <wp:docPr id="144616157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085" cy="2267585"/>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36D5D" id="Graphic 7" o:spid="_x0000_s1026" alt="&quot;&quot;" style="position:absolute;margin-left:329.25pt;margin-top:700.1pt;width:303.55pt;height:178.5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" path="m1627661,62190l259941,852259c117393,935179,,1137355,,1302263r,354040l2816496,1656303r,-1207463l2147543,62190v-142548,-82920,-377334,-82920,-519882,xe" fillcolor="#eff8fe" stroked="f" strokeweight="0">
              <v:stroke joinstyle="miter"/>
              <v:path arrowok="t" o:connecttype="custom" o:connectlocs="2227865,85142;355795,1166797;0,1782882;0,2267585;3855086,2267585;3855086,614491;2939455,85142;2227865,85142" o:connectangles="0,0,0,0,0,0,0,0"/>
              <o:lock v:ext="edit" aspectratio="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18DC" w14:textId="77777777" w:rsidR="002419DA" w:rsidRDefault="00233F7F" w:rsidP="005F1140">
    <w:pPr>
      <w:pStyle w:val="Header"/>
      <w:spacing w:line="2960" w:lineRule="exact"/>
    </w:pPr>
    <w:r>
      <w:drawing>
        <wp:anchor distT="0" distB="0" distL="114300" distR="114300" simplePos="0" relativeHeight="251668480" behindDoc="0" locked="0" layoutInCell="1" allowOverlap="1" wp14:anchorId="5E618DB9" wp14:editId="5F86ED2A">
          <wp:simplePos x="0" y="0"/>
          <wp:positionH relativeFrom="page">
            <wp:posOffset>483235</wp:posOffset>
          </wp:positionH>
          <wp:positionV relativeFrom="page">
            <wp:posOffset>490220</wp:posOffset>
          </wp:positionV>
          <wp:extent cx="2232000" cy="1114544"/>
          <wp:effectExtent l="0" t="0" r="0" b="0"/>
          <wp:wrapNone/>
          <wp:docPr id="2072495596"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E63"/>
    <w:multiLevelType w:val="hybridMultilevel"/>
    <w:tmpl w:val="8A8217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2" w15:restartNumberingAfterBreak="0">
    <w:nsid w:val="0B3F1347"/>
    <w:multiLevelType w:val="hybridMultilevel"/>
    <w:tmpl w:val="6BCABB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A17988"/>
    <w:multiLevelType w:val="multilevel"/>
    <w:tmpl w:val="68121924"/>
    <w:numStyleLink w:val="Koppenlijst"/>
  </w:abstractNum>
  <w:abstractNum w:abstractNumId="4"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7B7E3" w:themeColor="accent1"/>
      </w:rPr>
    </w:lvl>
    <w:lvl w:ilvl="1">
      <w:start w:val="1"/>
      <w:numFmt w:val="bullet"/>
      <w:lvlText w:val="○"/>
      <w:lvlJc w:val="left"/>
      <w:pPr>
        <w:ind w:left="794" w:hanging="397"/>
      </w:pPr>
      <w:rPr>
        <w:rFonts w:ascii="Arial" w:hAnsi="Arial" w:hint="default"/>
        <w:color w:val="17B7E3" w:themeColor="accent1"/>
      </w:rPr>
    </w:lvl>
    <w:lvl w:ilvl="2">
      <w:start w:val="1"/>
      <w:numFmt w:val="bullet"/>
      <w:lvlText w:val="-"/>
      <w:lvlJc w:val="left"/>
      <w:pPr>
        <w:ind w:left="1191" w:hanging="397"/>
      </w:pPr>
      <w:rPr>
        <w:rFonts w:asciiTheme="minorHAnsi" w:hAnsiTheme="minorHAnsi" w:cs="Times New Roman" w:hint="default"/>
        <w:color w:val="17B7E3" w:themeColor="accent1"/>
      </w:rPr>
    </w:lvl>
    <w:lvl w:ilvl="3">
      <w:start w:val="1"/>
      <w:numFmt w:val="bullet"/>
      <w:lvlText w:val="-"/>
      <w:lvlJc w:val="left"/>
      <w:pPr>
        <w:ind w:left="1588" w:hanging="397"/>
      </w:pPr>
      <w:rPr>
        <w:rFonts w:asciiTheme="minorHAnsi" w:hAnsiTheme="minorHAnsi" w:cs="Times New Roman" w:hint="default"/>
        <w:color w:val="17B7E3" w:themeColor="accent1"/>
      </w:rPr>
    </w:lvl>
    <w:lvl w:ilvl="4">
      <w:start w:val="1"/>
      <w:numFmt w:val="bullet"/>
      <w:lvlText w:val="-"/>
      <w:lvlJc w:val="left"/>
      <w:pPr>
        <w:ind w:left="1985" w:hanging="397"/>
      </w:pPr>
      <w:rPr>
        <w:rFonts w:asciiTheme="minorHAnsi" w:hAnsiTheme="minorHAnsi" w:cs="Times New Roman" w:hint="default"/>
        <w:color w:val="17B7E3" w:themeColor="accent1"/>
      </w:rPr>
    </w:lvl>
    <w:lvl w:ilvl="5">
      <w:start w:val="1"/>
      <w:numFmt w:val="bullet"/>
      <w:lvlText w:val="-"/>
      <w:lvlJc w:val="left"/>
      <w:pPr>
        <w:ind w:left="2382" w:hanging="397"/>
      </w:pPr>
      <w:rPr>
        <w:rFonts w:asciiTheme="minorHAnsi" w:hAnsiTheme="minorHAnsi" w:cs="Times New Roman" w:hint="default"/>
        <w:color w:val="17B7E3" w:themeColor="accent1"/>
      </w:rPr>
    </w:lvl>
    <w:lvl w:ilvl="6">
      <w:start w:val="1"/>
      <w:numFmt w:val="bullet"/>
      <w:lvlText w:val="-"/>
      <w:lvlJc w:val="left"/>
      <w:pPr>
        <w:ind w:left="2779" w:hanging="397"/>
      </w:pPr>
      <w:rPr>
        <w:rFonts w:asciiTheme="minorHAnsi" w:hAnsiTheme="minorHAnsi" w:cs="Times New Roman" w:hint="default"/>
        <w:color w:val="17B7E3" w:themeColor="accent1"/>
      </w:rPr>
    </w:lvl>
    <w:lvl w:ilvl="7">
      <w:start w:val="1"/>
      <w:numFmt w:val="bullet"/>
      <w:lvlText w:val="-"/>
      <w:lvlJc w:val="left"/>
      <w:pPr>
        <w:ind w:left="3176" w:hanging="397"/>
      </w:pPr>
      <w:rPr>
        <w:rFonts w:asciiTheme="minorHAnsi" w:hAnsiTheme="minorHAnsi" w:cs="Times New Roman" w:hint="default"/>
        <w:color w:val="17B7E3" w:themeColor="accent1"/>
      </w:rPr>
    </w:lvl>
    <w:lvl w:ilvl="8">
      <w:start w:val="1"/>
      <w:numFmt w:val="bullet"/>
      <w:lvlText w:val="-"/>
      <w:lvlJc w:val="left"/>
      <w:pPr>
        <w:ind w:left="3573" w:hanging="397"/>
      </w:pPr>
      <w:rPr>
        <w:rFonts w:asciiTheme="minorHAnsi" w:hAnsiTheme="minorHAnsi" w:cs="Times New Roman" w:hint="default"/>
        <w:color w:val="17B7E3" w:themeColor="accent1"/>
      </w:rPr>
    </w:lvl>
  </w:abstractNum>
  <w:abstractNum w:abstractNumId="5" w15:restartNumberingAfterBreak="0">
    <w:nsid w:val="30E6119E"/>
    <w:multiLevelType w:val="hybridMultilevel"/>
    <w:tmpl w:val="36689340"/>
    <w:lvl w:ilvl="0" w:tplc="4B16146C">
      <w:numFmt w:val="bullet"/>
      <w:lvlText w:val="-"/>
      <w:lvlJc w:val="left"/>
      <w:pPr>
        <w:ind w:left="1117" w:hanging="360"/>
      </w:pPr>
      <w:rPr>
        <w:rFonts w:ascii="Calibri" w:eastAsiaTheme="minorEastAsia" w:hAnsi="Calibri" w:cs="Calibri"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6" w15:restartNumberingAfterBreak="0">
    <w:nsid w:val="32EC3260"/>
    <w:multiLevelType w:val="hybridMultilevel"/>
    <w:tmpl w:val="9F2831AC"/>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AA759F"/>
    <w:multiLevelType w:val="multilevel"/>
    <w:tmpl w:val="59D4A8E2"/>
    <w:numStyleLink w:val="Cijfers"/>
  </w:abstractNum>
  <w:abstractNum w:abstractNumId="8" w15:restartNumberingAfterBreak="0">
    <w:nsid w:val="71F81A9B"/>
    <w:multiLevelType w:val="multilevel"/>
    <w:tmpl w:val="68121924"/>
    <w:styleLink w:val="Koppenlijst"/>
    <w:lvl w:ilvl="0">
      <w:start w:val="1"/>
      <w:numFmt w:val="decimal"/>
      <w:pStyle w:val="Heading1"/>
      <w:lvlText w:val="%1."/>
      <w:lvlJc w:val="left"/>
      <w:pPr>
        <w:ind w:left="794" w:hanging="794"/>
      </w:pPr>
      <w:rPr>
        <w:rFonts w:asciiTheme="majorHAnsi" w:hAnsiTheme="majorHAnsi" w:hint="default"/>
      </w:rPr>
    </w:lvl>
    <w:lvl w:ilvl="1">
      <w:start w:val="1"/>
      <w:numFmt w:val="decimal"/>
      <w:pStyle w:val="Heading2"/>
      <w:lvlText w:val="%1.%2"/>
      <w:lvlJc w:val="left"/>
      <w:pPr>
        <w:ind w:left="794" w:hanging="794"/>
      </w:pPr>
      <w:rPr>
        <w:rFonts w:asciiTheme="majorHAnsi" w:hAnsiTheme="majorHAnsi" w:hint="default"/>
      </w:rPr>
    </w:lvl>
    <w:lvl w:ilvl="2">
      <w:start w:val="1"/>
      <w:numFmt w:val="decimal"/>
      <w:pStyle w:val="Heading3"/>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9" w15:restartNumberingAfterBreak="0">
    <w:nsid w:val="77ED0F2B"/>
    <w:multiLevelType w:val="hybridMultilevel"/>
    <w:tmpl w:val="0EB472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24227514">
    <w:abstractNumId w:val="4"/>
  </w:num>
  <w:num w:numId="2" w16cid:durableId="616104099">
    <w:abstractNumId w:val="1"/>
  </w:num>
  <w:num w:numId="3" w16cid:durableId="1096902998">
    <w:abstractNumId w:val="8"/>
  </w:num>
  <w:num w:numId="4" w16cid:durableId="610670841">
    <w:abstractNumId w:val="4"/>
  </w:num>
  <w:num w:numId="5" w16cid:durableId="49766568">
    <w:abstractNumId w:val="7"/>
  </w:num>
  <w:num w:numId="6" w16cid:durableId="36973620">
    <w:abstractNumId w:val="3"/>
  </w:num>
  <w:num w:numId="7" w16cid:durableId="64030957">
    <w:abstractNumId w:val="2"/>
  </w:num>
  <w:num w:numId="8" w16cid:durableId="614141141">
    <w:abstractNumId w:val="9"/>
  </w:num>
  <w:num w:numId="9" w16cid:durableId="1654411392">
    <w:abstractNumId w:val="0"/>
  </w:num>
  <w:num w:numId="10" w16cid:durableId="1868567503">
    <w:abstractNumId w:val="6"/>
  </w:num>
  <w:num w:numId="11" w16cid:durableId="9170771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FA"/>
    <w:rsid w:val="00013990"/>
    <w:rsid w:val="00026820"/>
    <w:rsid w:val="00027F66"/>
    <w:rsid w:val="000327F0"/>
    <w:rsid w:val="0004480A"/>
    <w:rsid w:val="00047BCE"/>
    <w:rsid w:val="00047FB0"/>
    <w:rsid w:val="0005570D"/>
    <w:rsid w:val="000900D4"/>
    <w:rsid w:val="000954C6"/>
    <w:rsid w:val="000C1D84"/>
    <w:rsid w:val="000C56DA"/>
    <w:rsid w:val="000D0B3D"/>
    <w:rsid w:val="00110854"/>
    <w:rsid w:val="00137E4F"/>
    <w:rsid w:val="001603F7"/>
    <w:rsid w:val="00177C12"/>
    <w:rsid w:val="0019678B"/>
    <w:rsid w:val="001D40D9"/>
    <w:rsid w:val="001E6468"/>
    <w:rsid w:val="00233F7F"/>
    <w:rsid w:val="002419DA"/>
    <w:rsid w:val="00245C6F"/>
    <w:rsid w:val="002470C8"/>
    <w:rsid w:val="002503B1"/>
    <w:rsid w:val="00261FF8"/>
    <w:rsid w:val="002623EB"/>
    <w:rsid w:val="0029270D"/>
    <w:rsid w:val="002C26C1"/>
    <w:rsid w:val="002F028C"/>
    <w:rsid w:val="002F4714"/>
    <w:rsid w:val="00315481"/>
    <w:rsid w:val="00354A63"/>
    <w:rsid w:val="00383CCC"/>
    <w:rsid w:val="003A1E28"/>
    <w:rsid w:val="003A43B7"/>
    <w:rsid w:val="003B1310"/>
    <w:rsid w:val="003B3233"/>
    <w:rsid w:val="003D7B4C"/>
    <w:rsid w:val="003E7D58"/>
    <w:rsid w:val="00427B77"/>
    <w:rsid w:val="0043068D"/>
    <w:rsid w:val="00430E6A"/>
    <w:rsid w:val="00450B24"/>
    <w:rsid w:val="00462E14"/>
    <w:rsid w:val="00471148"/>
    <w:rsid w:val="00471CB5"/>
    <w:rsid w:val="00480A6C"/>
    <w:rsid w:val="004D27BF"/>
    <w:rsid w:val="004F6807"/>
    <w:rsid w:val="00505A92"/>
    <w:rsid w:val="00516FBD"/>
    <w:rsid w:val="00521A39"/>
    <w:rsid w:val="00523EBD"/>
    <w:rsid w:val="005334BE"/>
    <w:rsid w:val="00537E34"/>
    <w:rsid w:val="00543A1D"/>
    <w:rsid w:val="00544A1E"/>
    <w:rsid w:val="005B4F41"/>
    <w:rsid w:val="005C51B2"/>
    <w:rsid w:val="005D5AAC"/>
    <w:rsid w:val="005D5D88"/>
    <w:rsid w:val="005F1140"/>
    <w:rsid w:val="006342F8"/>
    <w:rsid w:val="00636967"/>
    <w:rsid w:val="00640DD1"/>
    <w:rsid w:val="00651608"/>
    <w:rsid w:val="00681D3F"/>
    <w:rsid w:val="006A159E"/>
    <w:rsid w:val="006A36A1"/>
    <w:rsid w:val="006A7525"/>
    <w:rsid w:val="006B682F"/>
    <w:rsid w:val="006C37D9"/>
    <w:rsid w:val="006C572A"/>
    <w:rsid w:val="006F1581"/>
    <w:rsid w:val="006F1C31"/>
    <w:rsid w:val="00701A94"/>
    <w:rsid w:val="00725A5C"/>
    <w:rsid w:val="00776F0F"/>
    <w:rsid w:val="00786100"/>
    <w:rsid w:val="007B1205"/>
    <w:rsid w:val="007B188A"/>
    <w:rsid w:val="007B23F1"/>
    <w:rsid w:val="007D1D17"/>
    <w:rsid w:val="007E4C3C"/>
    <w:rsid w:val="0080370F"/>
    <w:rsid w:val="00810CA0"/>
    <w:rsid w:val="00894F64"/>
    <w:rsid w:val="008B692E"/>
    <w:rsid w:val="008D4B9C"/>
    <w:rsid w:val="008E49A5"/>
    <w:rsid w:val="00901192"/>
    <w:rsid w:val="00902DAF"/>
    <w:rsid w:val="009128CE"/>
    <w:rsid w:val="009166D1"/>
    <w:rsid w:val="00920F6F"/>
    <w:rsid w:val="00961627"/>
    <w:rsid w:val="00961C13"/>
    <w:rsid w:val="009636F1"/>
    <w:rsid w:val="00972933"/>
    <w:rsid w:val="00975D3E"/>
    <w:rsid w:val="009C3A04"/>
    <w:rsid w:val="009E53D6"/>
    <w:rsid w:val="009F0619"/>
    <w:rsid w:val="00A06C4F"/>
    <w:rsid w:val="00A21DF8"/>
    <w:rsid w:val="00A234FA"/>
    <w:rsid w:val="00A4544F"/>
    <w:rsid w:val="00A47704"/>
    <w:rsid w:val="00A5069D"/>
    <w:rsid w:val="00A50742"/>
    <w:rsid w:val="00AA025D"/>
    <w:rsid w:val="00AA0CD5"/>
    <w:rsid w:val="00AA3830"/>
    <w:rsid w:val="00AB3598"/>
    <w:rsid w:val="00AF58D7"/>
    <w:rsid w:val="00B01290"/>
    <w:rsid w:val="00B04732"/>
    <w:rsid w:val="00B31997"/>
    <w:rsid w:val="00B34E56"/>
    <w:rsid w:val="00B47776"/>
    <w:rsid w:val="00B50715"/>
    <w:rsid w:val="00B54689"/>
    <w:rsid w:val="00B726BA"/>
    <w:rsid w:val="00BA20E8"/>
    <w:rsid w:val="00C0238D"/>
    <w:rsid w:val="00C03F07"/>
    <w:rsid w:val="00C13206"/>
    <w:rsid w:val="00C2285E"/>
    <w:rsid w:val="00C320AE"/>
    <w:rsid w:val="00C719A3"/>
    <w:rsid w:val="00C90720"/>
    <w:rsid w:val="00CD0194"/>
    <w:rsid w:val="00CD1F13"/>
    <w:rsid w:val="00CD35D9"/>
    <w:rsid w:val="00CF7101"/>
    <w:rsid w:val="00D16820"/>
    <w:rsid w:val="00D34D91"/>
    <w:rsid w:val="00D416E6"/>
    <w:rsid w:val="00D41F6D"/>
    <w:rsid w:val="00D420A9"/>
    <w:rsid w:val="00D501AA"/>
    <w:rsid w:val="00D51CF4"/>
    <w:rsid w:val="00D627B5"/>
    <w:rsid w:val="00D628DB"/>
    <w:rsid w:val="00DB12BD"/>
    <w:rsid w:val="00DC13D0"/>
    <w:rsid w:val="00E00097"/>
    <w:rsid w:val="00E15C48"/>
    <w:rsid w:val="00E27C72"/>
    <w:rsid w:val="00E319D6"/>
    <w:rsid w:val="00E64330"/>
    <w:rsid w:val="00E6666C"/>
    <w:rsid w:val="00E710F3"/>
    <w:rsid w:val="00E721B9"/>
    <w:rsid w:val="00E835D2"/>
    <w:rsid w:val="00E97455"/>
    <w:rsid w:val="00ED3677"/>
    <w:rsid w:val="00EE5329"/>
    <w:rsid w:val="00EF1E5D"/>
    <w:rsid w:val="00F14AAB"/>
    <w:rsid w:val="00F34AB2"/>
    <w:rsid w:val="00F95197"/>
    <w:rsid w:val="00FB35F6"/>
    <w:rsid w:val="00FE0F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0782A"/>
  <w15:chartTrackingRefBased/>
  <w15:docId w15:val="{6EC6CEE1-5867-4E2A-BBC7-6C370508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F8"/>
    <w:pPr>
      <w:spacing w:line="270" w:lineRule="atLeast"/>
    </w:pPr>
    <w:rPr>
      <w:sz w:val="21"/>
      <w:lang w:val="en-GB"/>
    </w:rPr>
  </w:style>
  <w:style w:type="paragraph" w:styleId="Heading1">
    <w:name w:val="heading 1"/>
    <w:aliases w:val="H1"/>
    <w:basedOn w:val="Normal"/>
    <w:next w:val="Normal"/>
    <w:link w:val="Heading1Char"/>
    <w:uiPriority w:val="9"/>
    <w:qFormat/>
    <w:rsid w:val="00901192"/>
    <w:pPr>
      <w:keepNext/>
      <w:keepLines/>
      <w:numPr>
        <w:numId w:val="6"/>
      </w:numPr>
      <w:spacing w:before="270" w:after="270"/>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9"/>
    <w:qFormat/>
    <w:rsid w:val="001E6468"/>
    <w:pPr>
      <w:numPr>
        <w:ilvl w:val="1"/>
      </w:numPr>
      <w:spacing w:after="0"/>
      <w:outlineLvl w:val="1"/>
    </w:pPr>
    <w:rPr>
      <w:sz w:val="24"/>
    </w:rPr>
  </w:style>
  <w:style w:type="paragraph" w:styleId="Heading3">
    <w:name w:val="heading 3"/>
    <w:aliases w:val="H3"/>
    <w:basedOn w:val="Heading1"/>
    <w:next w:val="Normal"/>
    <w:link w:val="Heading3Char"/>
    <w:uiPriority w:val="9"/>
    <w:qFormat/>
    <w:rsid w:val="001E6468"/>
    <w:pPr>
      <w:numPr>
        <w:ilvl w:val="2"/>
      </w:num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4"/>
      </w:numPr>
    </w:pPr>
  </w:style>
  <w:style w:type="numbering" w:customStyle="1" w:styleId="Cijfers">
    <w:name w:val="Cijfers"/>
    <w:uiPriority w:val="99"/>
    <w:rsid w:val="003B3233"/>
    <w:pPr>
      <w:numPr>
        <w:numId w:val="2"/>
      </w:numPr>
    </w:pPr>
  </w:style>
  <w:style w:type="paragraph" w:customStyle="1" w:styleId="ListNumbers">
    <w:name w:val="List Numbers"/>
    <w:basedOn w:val="Normal"/>
    <w:uiPriority w:val="2"/>
    <w:qFormat/>
    <w:rsid w:val="003B3233"/>
    <w:pPr>
      <w:numPr>
        <w:numId w:val="5"/>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9"/>
    <w:rsid w:val="0090119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9"/>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9"/>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3"/>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qFormat/>
    <w:rsid w:val="005B4F41"/>
    <w:rPr>
      <w:rFonts w:asciiTheme="majorHAnsi" w:hAnsiTheme="majorHAnsi"/>
      <w:b/>
      <w:bCs/>
    </w:rPr>
  </w:style>
  <w:style w:type="character" w:styleId="Hyperlink">
    <w:name w:val="Hyperlink"/>
    <w:basedOn w:val="DefaultParagraphFont"/>
    <w:uiPriority w:val="99"/>
    <w:unhideWhenUsed/>
    <w:rsid w:val="005B4F41"/>
    <w:rPr>
      <w:color w:val="008FCC"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numPr>
        <w:numId w:val="0"/>
      </w:numPr>
      <w:spacing w:befor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aliases w:val="Tableau Adere,List Paragraph (numbered (a)),Lapis Bulleted List"/>
    <w:basedOn w:val="Normal"/>
    <w:link w:val="ListParagraphChar"/>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styleId="BodyText">
    <w:name w:val="Body Text"/>
    <w:basedOn w:val="Normal"/>
    <w:link w:val="BodyTextChar"/>
    <w:uiPriority w:val="1"/>
    <w:rsid w:val="00E319D6"/>
    <w:pPr>
      <w:widowControl w:val="0"/>
      <w:autoSpaceDE w:val="0"/>
      <w:autoSpaceDN w:val="0"/>
      <w:spacing w:line="240" w:lineRule="auto"/>
    </w:pPr>
    <w:rPr>
      <w:rFonts w:ascii="Verdana" w:eastAsia="Verdana" w:hAnsi="Verdana" w:cs="Verdana"/>
      <w:sz w:val="18"/>
      <w:szCs w:val="18"/>
      <w:lang w:val="en-US"/>
    </w:rPr>
  </w:style>
  <w:style w:type="character" w:customStyle="1" w:styleId="BodyTextChar">
    <w:name w:val="Body Text Char"/>
    <w:basedOn w:val="DefaultParagraphFont"/>
    <w:link w:val="BodyText"/>
    <w:uiPriority w:val="1"/>
    <w:rsid w:val="00E319D6"/>
    <w:rPr>
      <w:rFonts w:ascii="Verdana" w:eastAsia="Verdana" w:hAnsi="Verdana" w:cs="Verdana"/>
      <w:sz w:val="18"/>
      <w:szCs w:val="18"/>
      <w:lang w:val="en-US"/>
    </w:rPr>
  </w:style>
  <w:style w:type="character" w:styleId="CommentReference">
    <w:name w:val="annotation reference"/>
    <w:basedOn w:val="DefaultParagraphFont"/>
    <w:uiPriority w:val="99"/>
    <w:semiHidden/>
    <w:unhideWhenUsed/>
    <w:rsid w:val="00E319D6"/>
    <w:rPr>
      <w:sz w:val="16"/>
      <w:szCs w:val="16"/>
    </w:rPr>
  </w:style>
  <w:style w:type="paragraph" w:styleId="CommentText">
    <w:name w:val="annotation text"/>
    <w:basedOn w:val="Normal"/>
    <w:link w:val="CommentTextChar"/>
    <w:unhideWhenUsed/>
    <w:rsid w:val="00E319D6"/>
    <w:pPr>
      <w:spacing w:line="240" w:lineRule="auto"/>
    </w:pPr>
    <w:rPr>
      <w:sz w:val="20"/>
    </w:rPr>
  </w:style>
  <w:style w:type="character" w:customStyle="1" w:styleId="CommentTextChar">
    <w:name w:val="Comment Text Char"/>
    <w:basedOn w:val="DefaultParagraphFont"/>
    <w:link w:val="CommentText"/>
    <w:rsid w:val="00E319D6"/>
    <w:rPr>
      <w:lang w:val="en-GB"/>
    </w:rPr>
  </w:style>
  <w:style w:type="character" w:customStyle="1" w:styleId="ListParagraphChar">
    <w:name w:val="List Paragraph Char"/>
    <w:aliases w:val="Tableau Adere Char,List Paragraph (numbered (a)) Char,Lapis Bulleted List Char"/>
    <w:link w:val="ListParagraph"/>
    <w:uiPriority w:val="34"/>
    <w:rsid w:val="006F1581"/>
    <w:rPr>
      <w:rFonts w:ascii="Verdana" w:eastAsia="Times New Roman" w:hAnsi="Verdana" w:cs="Times New Roman"/>
      <w:sz w:val="17"/>
      <w:lang w:val="en-GB" w:eastAsia="nl-NL"/>
      <w14:ligatures w14:val="standardContextual"/>
    </w:rPr>
  </w:style>
  <w:style w:type="paragraph" w:styleId="NormalWeb">
    <w:name w:val="Normal (Web)"/>
    <w:basedOn w:val="Normal"/>
    <w:uiPriority w:val="99"/>
    <w:semiHidden/>
    <w:unhideWhenUsed/>
    <w:rsid w:val="00CF710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bs.smartrecruiters.com/SN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nv.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sahinguvu@sn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334\OneDrive%20-%20SNV\Branding\1.%20New%20Brand%20Identity\Assets\Corporate%20Assets\7_MS%20Office%20Templates\Templates%20for%20Units\Sample%20ToR%20(General)_NEW-DESKTOP-ILR89PV.dotx" TargetMode="External"/></Relationships>
</file>

<file path=word/theme/theme1.xml><?xml version="1.0" encoding="utf-8"?>
<a:theme xmlns:a="http://schemas.openxmlformats.org/drawingml/2006/main" name="Kantoorthema">
  <a:themeElements>
    <a:clrScheme name="SNVWord">
      <a:dk1>
        <a:srgbClr val="000000"/>
      </a:dk1>
      <a:lt1>
        <a:srgbClr val="FFFFFF"/>
      </a:lt1>
      <a:dk2>
        <a:srgbClr val="375380"/>
      </a:dk2>
      <a:lt2>
        <a:srgbClr val="EFF8FE"/>
      </a:lt2>
      <a:accent1>
        <a:srgbClr val="17B7E3"/>
      </a:accent1>
      <a:accent2>
        <a:srgbClr val="008FCC"/>
      </a:accent2>
      <a:accent3>
        <a:srgbClr val="FFCC66"/>
      </a:accent3>
      <a:accent4>
        <a:srgbClr val="E8777B"/>
      </a:accent4>
      <a:accent5>
        <a:srgbClr val="97C9AA"/>
      </a:accent5>
      <a:accent6>
        <a:srgbClr val="F6E8D7"/>
      </a:accent6>
      <a:hlink>
        <a:srgbClr val="008FCC"/>
      </a:hlink>
      <a:folHlink>
        <a:srgbClr val="008FCC"/>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3B880B5341501748A5B19F00646164400059A0EF81B292C244943EC30ACB64F2BC" ma:contentTypeVersion="8" ma:contentTypeDescription="" ma:contentTypeScope="" ma:versionID="415a89a09740945db82562a037d31ee2">
  <xsd:schema xmlns:xsd="http://www.w3.org/2001/XMLSchema" xmlns:xs="http://www.w3.org/2001/XMLSchema" xmlns:p="http://schemas.microsoft.com/office/2006/metadata/properties" xmlns:ns2="e387ade4-6730-4aab-9d7a-b895e19528e3" targetNamespace="http://schemas.microsoft.com/office/2006/metadata/properties" ma:root="true" ma:fieldsID="93522973420a9a1b67d560c8c500829a" ns2:_="">
    <xsd:import namespace="e387ade4-6730-4aab-9d7a-b895e19528e3"/>
    <xsd:element name="properties">
      <xsd:complexType>
        <xsd:sequence>
          <xsd:element name="documentManagement">
            <xsd:complexType>
              <xsd:all>
                <xsd:element ref="ns2:Approval-Comments" minOccurs="0"/>
                <xsd:element ref="ns2:Approved" minOccurs="0"/>
                <xsd:element ref="ns2:d57ad63fa78849afa577c8c887712ecc" minOccurs="0"/>
                <xsd:element ref="ns2:TaxCatchAll" minOccurs="0"/>
                <xsd:element ref="ns2:TaxCatchAllLabel" minOccurs="0"/>
                <xsd:element ref="ns2:adb6d10904b34eeda4b6f1de5c5619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Approval-Comments" ma:index="8" nillable="true" ma:displayName="Approval-Comments" ma:description="Please explain to the submitter why you Approve or Reject" ma:internalName="Approval_x002d_Comments">
      <xsd:simpleType>
        <xsd:restriction base="dms:Note">
          <xsd:maxLength value="255"/>
        </xsd:restriction>
      </xsd:simpleType>
    </xsd:element>
    <xsd:element name="Approved" ma:index="9" nillable="true" ma:displayName="Approved" ma:default="Pending" ma:format="RadioButtons" ma:internalName="Approved">
      <xsd:simpleType>
        <xsd:restriction base="dms:Choice">
          <xsd:enumeration value="Approved"/>
          <xsd:enumeration value="Rejected"/>
          <xsd:enumeration value="Pending"/>
        </xsd:restriction>
      </xsd:simpleType>
    </xsd:element>
    <xsd:element name="d57ad63fa78849afa577c8c887712ecc" ma:index="10" nillable="true" ma:taxonomy="true" ma:internalName="d57ad63fa78849afa577c8c887712ecc" ma:taxonomyFieldName="OrgUnit" ma:displayName="OrgUnit" ma:default="" ma:fieldId="{d57ad63f-a788-49af-a577-c8c887712ecc}" ma:taxonomyMulti="true" ma:sspId="9d7329dd-438a-4558-bb02-8c32828ba005" ma:termSetId="0aa0795d-9b39-4c9d-a1de-c8615d5d934e"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f715d22e-8a49-4896-8c9b-252341cf278c}" ma:internalName="TaxCatchAll" ma:showField="CatchAllData" ma:web="ff0d2591-ae11-4cc4-a53e-bae3192d295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15d22e-8a49-4896-8c9b-252341cf278c}" ma:internalName="TaxCatchAllLabel" ma:readOnly="true" ma:showField="CatchAllDataLabel" ma:web="ff0d2591-ae11-4cc4-a53e-bae3192d2957">
      <xsd:complexType>
        <xsd:complexContent>
          <xsd:extension base="dms:MultiChoiceLookup">
            <xsd:sequence>
              <xsd:element name="Value" type="dms:Lookup" maxOccurs="unbounded" minOccurs="0" nillable="true"/>
            </xsd:sequence>
          </xsd:extension>
        </xsd:complexContent>
      </xsd:complexType>
    </xsd:element>
    <xsd:element name="adb6d10904b34eeda4b6f1de5c5619de" ma:index="14" nillable="true" ma:taxonomy="true" ma:internalName="adb6d10904b34eeda4b6f1de5c5619de" ma:taxonomyFieldName="Topics" ma:displayName="Topics" ma:default="" ma:fieldId="{adb6d109-04b3-4eed-a4b6-f1de5c5619de}" ma:taxonomyMulti="true" ma:sspId="9d7329dd-438a-4558-bb02-8c32828ba005" ma:termSetId="23d55ef9-2cfb-4312-a973-f5abc3ece66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d7329dd-438a-4558-bb02-8c32828ba005" ContentTypeId="0x0101003B880B5341501748A5B19F0064616440"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e387ade4-6730-4aab-9d7a-b895e19528e3">
      <Value>21</Value>
    </TaxCatchAll>
    <adb6d10904b34eeda4b6f1de5c5619de xmlns="e387ade4-6730-4aab-9d7a-b895e19528e3">
      <Terms xmlns="http://schemas.microsoft.com/office/infopath/2007/PartnerControls"/>
    </adb6d10904b34eeda4b6f1de5c5619de>
    <d57ad63fa78849afa577c8c887712ecc xmlns="e387ade4-6730-4aab-9d7a-b895e19528e3">
      <Terms xmlns="http://schemas.microsoft.com/office/infopath/2007/PartnerControls">
        <TermInfo xmlns="http://schemas.microsoft.com/office/infopath/2007/PartnerControls">
          <TermName xmlns="http://schemas.microsoft.com/office/infopath/2007/PartnerControls">Marketing ＆ BD</TermName>
          <TermId xmlns="http://schemas.microsoft.com/office/infopath/2007/PartnerControls">b171bc62-36ea-4145-902a-b9a4f959198b</TermId>
        </TermInfo>
      </Terms>
    </d57ad63fa78849afa577c8c887712ecc>
    <Approval-Comments xmlns="e387ade4-6730-4aab-9d7a-b895e19528e3" xsi:nil="true"/>
    <Approved xmlns="e387ade4-6730-4aab-9d7a-b895e19528e3">Pending</Approve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FBE38-0314-432B-ADC8-6622B029B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3.xml><?xml version="1.0" encoding="utf-8"?>
<ds:datastoreItem xmlns:ds="http://schemas.openxmlformats.org/officeDocument/2006/customXml" ds:itemID="{C83011AF-8DC1-4CAC-9E6F-97D564C0AEAE}">
  <ds:schemaRefs>
    <ds:schemaRef ds:uri="Microsoft.SharePoint.Taxonomy.ContentTypeSync"/>
  </ds:schemaRefs>
</ds:datastoreItem>
</file>

<file path=customXml/itemProps4.xml><?xml version="1.0" encoding="utf-8"?>
<ds:datastoreItem xmlns:ds="http://schemas.openxmlformats.org/officeDocument/2006/customXml" ds:itemID="{DF54ACDE-5D45-478B-801E-C818605CB5C2}">
  <ds:schemaRefs>
    <ds:schemaRef ds:uri="http://schemas.microsoft.com/office/2006/metadata/properties"/>
    <ds:schemaRef ds:uri="http://schemas.microsoft.com/office/infopath/2007/PartnerControls"/>
    <ds:schemaRef ds:uri="e387ade4-6730-4aab-9d7a-b895e19528e3"/>
  </ds:schemaRefs>
</ds:datastoreItem>
</file>

<file path=customXml/itemProps5.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 ToR (General)_NEW-DESKTOP-ILR89PV</Template>
  <TotalTime>2</TotalTime>
  <Pages>9</Pages>
  <Words>2652</Words>
  <Characters>14588</Characters>
  <Application>Microsoft Office Word</Application>
  <DocSecurity>0</DocSecurity>
  <Lines>121</Lines>
  <Paragraphs>34</Paragraphs>
  <ScaleCrop>false</ScaleCrop>
  <HeadingPairs>
    <vt:vector size="10" baseType="variant">
      <vt:variant>
        <vt:lpstr>Titre</vt:lpstr>
      </vt:variant>
      <vt:variant>
        <vt:i4>1</vt:i4>
      </vt:variant>
      <vt:variant>
        <vt:lpstr>Title</vt:lpstr>
      </vt:variant>
      <vt:variant>
        <vt:i4>1</vt:i4>
      </vt:variant>
      <vt:variant>
        <vt:lpstr>Headings</vt:lpstr>
      </vt:variant>
      <vt:variant>
        <vt:i4>14</vt:i4>
      </vt:variant>
      <vt:variant>
        <vt:lpstr>Titel</vt:lpstr>
      </vt:variant>
      <vt:variant>
        <vt:i4>1</vt:i4>
      </vt:variant>
      <vt:variant>
        <vt:lpstr>Koppen</vt:lpstr>
      </vt:variant>
      <vt:variant>
        <vt:i4>4</vt:i4>
      </vt:variant>
    </vt:vector>
  </HeadingPairs>
  <TitlesOfParts>
    <vt:vector size="21" baseType="lpstr">
      <vt:lpstr>General Terms of Reference Template</vt:lpstr>
      <vt:lpstr/>
      <vt:lpstr>About SNV</vt:lpstr>
      <vt:lpstr>Background and objectives of assignment </vt:lpstr>
      <vt:lpstr>Assignment overview and scope of work / deliverables</vt:lpstr>
      <vt:lpstr>Copyright and intellectual property rights</vt:lpstr>
      <vt:lpstr>Evaluation criteria</vt:lpstr>
      <vt:lpstr>Contract project fees and duration </vt:lpstr>
      <vt:lpstr>Payment terms</vt:lpstr>
      <vt:lpstr>Key compliance issues </vt:lpstr>
      <vt:lpstr>Due diligence instructions</vt:lpstr>
      <vt:lpstr/>
      <vt:lpstr/>
      <vt:lpstr>Submission requirements</vt:lpstr>
      <vt:lpstr/>
      <vt:lpstr/>
      <vt:lpstr/>
      <vt:lpstr>Heading:H1 (Vraag, moet een hoofdstuk boven aan op een nieuwe pagina beginnen of</vt:lpstr>
      <vt:lpstr>    Sub heading:H2</vt:lpstr>
      <vt:lpstr>        Sub sub heading</vt:lpstr>
      <vt:lpstr>Unnumbered heading:UL1</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of Reference Template</dc:title>
  <dc:subject/>
  <dc:creator>Schulte, Judith</dc:creator>
  <cp:keywords/>
  <dc:description>Template by HQ Solutions</dc:description>
  <cp:lastModifiedBy>Keïta, René</cp:lastModifiedBy>
  <cp:revision>2</cp:revision>
  <dcterms:created xsi:type="dcterms:W3CDTF">2025-12-02T11:38:00Z</dcterms:created>
  <dcterms:modified xsi:type="dcterms:W3CDTF">2025-12-02T11:38:00Z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0x0101003B880B5341501748A5B19F00646164400059A0EF81B292C244943EC30ACB64F2BC</vt:lpwstr>
  </property>
  <property fmtid="{D5CDD505-2E9C-101B-9397-08002B2CF9AE}" pid="4" name="MediaServiceImageTags">
    <vt:lpwstr/>
  </property>
  <property fmtid="{D5CDD505-2E9C-101B-9397-08002B2CF9AE}" pid="5" name="PublishedtoOurSNV">
    <vt:lpwstr>https://snvworld.sharepoint.com/teams/help/SitePages/Publish-to-Our-SNV.aspx, Started...</vt:lpwstr>
  </property>
  <property fmtid="{D5CDD505-2E9C-101B-9397-08002B2CF9AE}" pid="6" name="Procedure">
    <vt:lpwstr/>
  </property>
  <property fmtid="{D5CDD505-2E9C-101B-9397-08002B2CF9AE}" pid="7" name="fa9eb757bb26455fa833eacb309c3afd">
    <vt:lpwstr/>
  </property>
  <property fmtid="{D5CDD505-2E9C-101B-9397-08002B2CF9AE}" pid="8" name="Policy_x002d_area">
    <vt:lpwstr/>
  </property>
  <property fmtid="{D5CDD505-2E9C-101B-9397-08002B2CF9AE}" pid="9" name="OrgUnit">
    <vt:lpwstr>21;#Marketing ＆ BD|b171bc62-36ea-4145-902a-b9a4f959198b</vt:lpwstr>
  </property>
  <property fmtid="{D5CDD505-2E9C-101B-9397-08002B2CF9AE}" pid="10" name="Action">
    <vt:lpwstr>Approve/Change</vt:lpwstr>
  </property>
  <property fmtid="{D5CDD505-2E9C-101B-9397-08002B2CF9AE}" pid="11" name="Country">
    <vt:lpwstr/>
  </property>
  <property fmtid="{D5CDD505-2E9C-101B-9397-08002B2CF9AE}" pid="12" name="n73fe00915e047b9b000031da954def1">
    <vt:lpwstr/>
  </property>
  <property fmtid="{D5CDD505-2E9C-101B-9397-08002B2CF9AE}" pid="13" name="Topics">
    <vt:lpwstr/>
  </property>
  <property fmtid="{D5CDD505-2E9C-101B-9397-08002B2CF9AE}" pid="14" name="i2803edeca134f31a13fdb8b3b4be34d">
    <vt:lpwstr/>
  </property>
  <property fmtid="{D5CDD505-2E9C-101B-9397-08002B2CF9AE}" pid="15" name="Policy-area">
    <vt:lpwstr/>
  </property>
  <property fmtid="{D5CDD505-2E9C-101B-9397-08002B2CF9AE}" pid="16" name="PublishedFrom">
    <vt:lpwstr>/teams/comms/Corporate/2. Live - Final assets/Templates/Sample ToR (General).docx</vt:lpwstr>
  </property>
  <property fmtid="{D5CDD505-2E9C-101B-9397-08002B2CF9AE}" pid="17" name="PublishedBy">
    <vt:lpwstr>3410</vt:lpwstr>
  </property>
  <property fmtid="{D5CDD505-2E9C-101B-9397-08002B2CF9AE}" pid="18" name="Approval">
    <vt:lpwstr>https://snvworld.sharepoint.com/teams/comms/_layouts/15/wrkstat.aspx?List=c6b5491d-bf62-4a68-a1d9-157ba19596e6&amp;WorkflowInstanceName=06fbcf0e-09c6-4b13-a026-6c7f881acb69, WF Details</vt:lpwstr>
  </property>
</Properties>
</file>