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51"/>
        <w:gridCol w:w="6891"/>
      </w:tblGrid>
      <w:tr w:rsidR="001054FB" w:rsidRPr="006F468C" w14:paraId="3684B962" w14:textId="77777777" w:rsidTr="006F532E">
        <w:tc>
          <w:tcPr>
            <w:tcW w:w="9242" w:type="dxa"/>
            <w:gridSpan w:val="2"/>
            <w:tcBorders>
              <w:top w:val="single" w:sz="8" w:space="0" w:color="000000"/>
              <w:bottom w:val="single" w:sz="8" w:space="0" w:color="000000"/>
            </w:tcBorders>
            <w:shd w:val="clear" w:color="auto" w:fill="D9D9D9"/>
          </w:tcPr>
          <w:p w14:paraId="37392920" w14:textId="77777777" w:rsidR="001054FB" w:rsidRPr="006F468C" w:rsidRDefault="00EB063B" w:rsidP="006F532E">
            <w:pPr>
              <w:pStyle w:val="Heading1"/>
              <w:spacing w:before="120"/>
              <w:rPr>
                <w:rFonts w:cs="Arial"/>
                <w:bCs w:val="0"/>
                <w:color w:val="000000"/>
                <w:sz w:val="22"/>
                <w:szCs w:val="22"/>
              </w:rPr>
            </w:pPr>
            <w:r>
              <w:rPr>
                <w:rFonts w:cs="Arial"/>
                <w:bCs w:val="0"/>
                <w:color w:val="000000"/>
                <w:sz w:val="22"/>
                <w:szCs w:val="22"/>
              </w:rPr>
              <w:t>Hampshire 24/7</w:t>
            </w:r>
          </w:p>
          <w:p w14:paraId="26EB9375" w14:textId="77777777" w:rsidR="001054FB" w:rsidRPr="006F468C" w:rsidRDefault="001054FB" w:rsidP="006F532E">
            <w:pPr>
              <w:pStyle w:val="Quote"/>
              <w:spacing w:after="120"/>
              <w:rPr>
                <w:rFonts w:cs="Arial"/>
                <w:b/>
              </w:rPr>
            </w:pPr>
            <w:r w:rsidRPr="006F468C">
              <w:rPr>
                <w:rFonts w:cs="Arial"/>
                <w:b/>
              </w:rPr>
              <w:t>Job Description and Personal Specification</w:t>
            </w:r>
          </w:p>
        </w:tc>
      </w:tr>
      <w:tr w:rsidR="001054FB" w:rsidRPr="006F468C" w14:paraId="791B2F20" w14:textId="77777777" w:rsidTr="006F532E">
        <w:tc>
          <w:tcPr>
            <w:tcW w:w="2351" w:type="dxa"/>
            <w:tcBorders>
              <w:bottom w:val="single" w:sz="4" w:space="0" w:color="BFBFBF"/>
            </w:tcBorders>
            <w:shd w:val="clear" w:color="auto" w:fill="F2F2F2"/>
          </w:tcPr>
          <w:p w14:paraId="1CC8C231" w14:textId="77777777" w:rsidR="001054FB" w:rsidRPr="006F468C" w:rsidRDefault="001054FB" w:rsidP="006F532E">
            <w:pPr>
              <w:pStyle w:val="Quote"/>
              <w:spacing w:before="120" w:after="120"/>
              <w:rPr>
                <w:rFonts w:cs="Arial"/>
                <w:bCs/>
              </w:rPr>
            </w:pPr>
            <w:r w:rsidRPr="006F468C">
              <w:rPr>
                <w:rFonts w:cs="Arial"/>
                <w:b/>
                <w:bCs/>
              </w:rPr>
              <w:t>Role:</w:t>
            </w:r>
          </w:p>
        </w:tc>
        <w:tc>
          <w:tcPr>
            <w:tcW w:w="6891" w:type="dxa"/>
            <w:tcBorders>
              <w:left w:val="nil"/>
              <w:bottom w:val="single" w:sz="4" w:space="0" w:color="BFBFBF"/>
              <w:right w:val="nil"/>
            </w:tcBorders>
            <w:shd w:val="clear" w:color="auto" w:fill="FFFFFF"/>
          </w:tcPr>
          <w:p w14:paraId="5CCE8041" w14:textId="77777777" w:rsidR="00904A59" w:rsidRPr="006F468C" w:rsidRDefault="00566A5E" w:rsidP="00CA64FE">
            <w:pPr>
              <w:pStyle w:val="Quote"/>
              <w:spacing w:before="120" w:after="120"/>
              <w:rPr>
                <w:rFonts w:cs="Arial"/>
              </w:rPr>
            </w:pPr>
            <w:r>
              <w:rPr>
                <w:rFonts w:cs="Arial"/>
              </w:rPr>
              <w:t>Substance Misuse Practitioner</w:t>
            </w:r>
            <w:r w:rsidR="00A541FA">
              <w:rPr>
                <w:rFonts w:cs="Arial"/>
              </w:rPr>
              <w:t xml:space="preserve"> – Willow Team</w:t>
            </w:r>
          </w:p>
        </w:tc>
      </w:tr>
      <w:tr w:rsidR="001054FB" w:rsidRPr="006F468C" w14:paraId="34DC10AF" w14:textId="77777777" w:rsidTr="006F532E">
        <w:tc>
          <w:tcPr>
            <w:tcW w:w="2351" w:type="dxa"/>
            <w:tcBorders>
              <w:top w:val="single" w:sz="4" w:space="0" w:color="BFBFBF"/>
              <w:bottom w:val="single" w:sz="4" w:space="0" w:color="BFBFBF"/>
            </w:tcBorders>
            <w:shd w:val="clear" w:color="auto" w:fill="F2F2F2"/>
          </w:tcPr>
          <w:p w14:paraId="22EBE5F3" w14:textId="77777777" w:rsidR="001054FB" w:rsidRPr="006F468C" w:rsidRDefault="001054FB" w:rsidP="006F532E">
            <w:pPr>
              <w:pStyle w:val="Quote"/>
              <w:spacing w:before="120" w:after="120"/>
              <w:rPr>
                <w:rFonts w:cs="Arial"/>
                <w:bCs/>
              </w:rPr>
            </w:pPr>
            <w:r w:rsidRPr="006F468C">
              <w:rPr>
                <w:rFonts w:cs="Arial"/>
                <w:b/>
                <w:bCs/>
              </w:rPr>
              <w:t>Place of work:</w:t>
            </w:r>
          </w:p>
        </w:tc>
        <w:tc>
          <w:tcPr>
            <w:tcW w:w="6891" w:type="dxa"/>
            <w:tcBorders>
              <w:top w:val="single" w:sz="4" w:space="0" w:color="BFBFBF"/>
              <w:bottom w:val="single" w:sz="4" w:space="0" w:color="BFBFBF"/>
            </w:tcBorders>
            <w:shd w:val="clear" w:color="auto" w:fill="FFFFFF"/>
          </w:tcPr>
          <w:p w14:paraId="4EE1508D" w14:textId="77777777" w:rsidR="001054FB" w:rsidRPr="006F468C" w:rsidRDefault="00566A5E" w:rsidP="00706DBE">
            <w:pPr>
              <w:pStyle w:val="Quote"/>
              <w:spacing w:before="120" w:after="120"/>
              <w:rPr>
                <w:rFonts w:cs="Arial"/>
              </w:rPr>
            </w:pPr>
            <w:r>
              <w:rPr>
                <w:rFonts w:cs="Arial"/>
              </w:rPr>
              <w:t>Hub Based</w:t>
            </w:r>
          </w:p>
        </w:tc>
      </w:tr>
      <w:tr w:rsidR="001054FB" w:rsidRPr="006F468C" w14:paraId="1CA9721F" w14:textId="77777777" w:rsidTr="006F532E">
        <w:tc>
          <w:tcPr>
            <w:tcW w:w="2351" w:type="dxa"/>
            <w:tcBorders>
              <w:top w:val="single" w:sz="4" w:space="0" w:color="BFBFBF"/>
              <w:bottom w:val="single" w:sz="4" w:space="0" w:color="BFBFBF"/>
            </w:tcBorders>
            <w:shd w:val="clear" w:color="auto" w:fill="F2F2F2"/>
          </w:tcPr>
          <w:p w14:paraId="7978CCC8" w14:textId="77777777" w:rsidR="001054FB" w:rsidRPr="006F468C" w:rsidRDefault="001054FB" w:rsidP="006F532E">
            <w:pPr>
              <w:pStyle w:val="Quote"/>
              <w:spacing w:before="120" w:after="120"/>
              <w:rPr>
                <w:rFonts w:cs="Arial"/>
                <w:bCs/>
              </w:rPr>
            </w:pPr>
            <w:r w:rsidRPr="006F468C">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2A55123D" w14:textId="77777777" w:rsidR="001054FB" w:rsidRPr="006F468C" w:rsidRDefault="00470127" w:rsidP="006F532E">
            <w:pPr>
              <w:pStyle w:val="Quote"/>
              <w:spacing w:before="120" w:after="120"/>
              <w:rPr>
                <w:rFonts w:cs="Arial"/>
              </w:rPr>
            </w:pPr>
            <w:r w:rsidRPr="008B0E89">
              <w:rPr>
                <w:rFonts w:cs="Arial"/>
              </w:rPr>
              <w:t xml:space="preserve">37 </w:t>
            </w:r>
            <w:r w:rsidR="009C60FD" w:rsidRPr="008B0E89">
              <w:rPr>
                <w:rFonts w:cs="Arial"/>
              </w:rPr>
              <w:t>hours per week</w:t>
            </w:r>
          </w:p>
        </w:tc>
      </w:tr>
      <w:tr w:rsidR="001054FB" w:rsidRPr="006F468C" w14:paraId="2CB16865" w14:textId="77777777" w:rsidTr="006F532E">
        <w:tc>
          <w:tcPr>
            <w:tcW w:w="2351" w:type="dxa"/>
            <w:tcBorders>
              <w:top w:val="single" w:sz="4" w:space="0" w:color="BFBFBF"/>
              <w:bottom w:val="single" w:sz="4" w:space="0" w:color="BFBFBF"/>
            </w:tcBorders>
            <w:shd w:val="clear" w:color="auto" w:fill="F2F2F2"/>
          </w:tcPr>
          <w:p w14:paraId="2B8BDF70" w14:textId="77777777" w:rsidR="001054FB" w:rsidRPr="006F468C" w:rsidRDefault="008C7411" w:rsidP="006F532E">
            <w:pPr>
              <w:pStyle w:val="Quote"/>
              <w:spacing w:before="120" w:after="120"/>
              <w:rPr>
                <w:rFonts w:cs="Arial"/>
                <w:bCs/>
              </w:rPr>
            </w:pPr>
            <w:r w:rsidRPr="006F468C">
              <w:rPr>
                <w:rFonts w:cs="Arial"/>
                <w:b/>
                <w:bCs/>
              </w:rPr>
              <w:t>Salary/Grade</w:t>
            </w:r>
          </w:p>
        </w:tc>
        <w:tc>
          <w:tcPr>
            <w:tcW w:w="6891" w:type="dxa"/>
            <w:tcBorders>
              <w:top w:val="single" w:sz="4" w:space="0" w:color="BFBFBF"/>
              <w:bottom w:val="single" w:sz="4" w:space="0" w:color="BFBFBF"/>
            </w:tcBorders>
            <w:shd w:val="clear" w:color="auto" w:fill="FFFFFF"/>
          </w:tcPr>
          <w:p w14:paraId="30078CCD" w14:textId="77777777" w:rsidR="001054FB" w:rsidRPr="006F468C" w:rsidRDefault="0006024F" w:rsidP="00706DBE">
            <w:pPr>
              <w:pStyle w:val="Quote"/>
              <w:spacing w:before="120" w:after="120"/>
              <w:rPr>
                <w:rFonts w:cs="Arial"/>
              </w:rPr>
            </w:pPr>
            <w:r>
              <w:rPr>
                <w:rFonts w:cs="Arial"/>
              </w:rPr>
              <w:t xml:space="preserve">Grade </w:t>
            </w:r>
            <w:r w:rsidR="00566A5E">
              <w:rPr>
                <w:rFonts w:cs="Arial"/>
              </w:rPr>
              <w:t>F</w:t>
            </w:r>
          </w:p>
        </w:tc>
      </w:tr>
      <w:tr w:rsidR="001054FB" w:rsidRPr="006F468C" w14:paraId="7B362324" w14:textId="77777777" w:rsidTr="006F532E">
        <w:tc>
          <w:tcPr>
            <w:tcW w:w="2351" w:type="dxa"/>
            <w:tcBorders>
              <w:top w:val="single" w:sz="4" w:space="0" w:color="BFBFBF"/>
              <w:bottom w:val="single" w:sz="4" w:space="0" w:color="BFBFBF"/>
            </w:tcBorders>
            <w:shd w:val="clear" w:color="auto" w:fill="F2F2F2"/>
          </w:tcPr>
          <w:p w14:paraId="2CFEAEF4" w14:textId="77777777" w:rsidR="001054FB" w:rsidRPr="006F468C" w:rsidRDefault="001054FB" w:rsidP="006F532E">
            <w:pPr>
              <w:pStyle w:val="Quote"/>
              <w:spacing w:before="120" w:after="120"/>
              <w:rPr>
                <w:rFonts w:cs="Arial"/>
                <w:bCs/>
              </w:rPr>
            </w:pPr>
            <w:r w:rsidRPr="006F468C">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418A8C53" w14:textId="77777777" w:rsidR="001054FB" w:rsidRPr="006F468C" w:rsidRDefault="007675B3" w:rsidP="008C7411">
            <w:pPr>
              <w:pStyle w:val="Quote"/>
              <w:spacing w:before="120" w:after="120"/>
              <w:rPr>
                <w:rFonts w:cs="Arial"/>
              </w:rPr>
            </w:pPr>
            <w:r>
              <w:rPr>
                <w:rFonts w:cs="Arial"/>
              </w:rPr>
              <w:t xml:space="preserve">C22 </w:t>
            </w:r>
            <w:r w:rsidR="00566A5E">
              <w:rPr>
                <w:rFonts w:cs="Arial"/>
              </w:rPr>
              <w:t>Senior Practitioner</w:t>
            </w:r>
            <w:r w:rsidR="00EB063B">
              <w:rPr>
                <w:rFonts w:cs="Arial"/>
              </w:rPr>
              <w:t>/</w:t>
            </w:r>
            <w:r>
              <w:rPr>
                <w:rFonts w:cs="Arial"/>
              </w:rPr>
              <w:t>Willow Assistant Team Manager</w:t>
            </w:r>
          </w:p>
        </w:tc>
      </w:tr>
      <w:tr w:rsidR="001054FB" w:rsidRPr="006F468C" w14:paraId="46F081DB" w14:textId="77777777" w:rsidTr="006F532E">
        <w:tc>
          <w:tcPr>
            <w:tcW w:w="2351" w:type="dxa"/>
            <w:tcBorders>
              <w:top w:val="single" w:sz="4" w:space="0" w:color="BFBFBF"/>
            </w:tcBorders>
            <w:shd w:val="clear" w:color="auto" w:fill="F2F2F2"/>
          </w:tcPr>
          <w:p w14:paraId="66EF17DC" w14:textId="77777777" w:rsidR="001054FB" w:rsidRPr="006F468C" w:rsidRDefault="001054FB" w:rsidP="006F532E">
            <w:pPr>
              <w:pStyle w:val="Quote"/>
              <w:spacing w:before="120" w:after="120"/>
              <w:rPr>
                <w:rFonts w:cs="Arial"/>
                <w:bCs/>
              </w:rPr>
            </w:pPr>
            <w:r w:rsidRPr="006F468C">
              <w:rPr>
                <w:rFonts w:cs="Arial"/>
                <w:b/>
                <w:bCs/>
              </w:rPr>
              <w:t>Level of screening:</w:t>
            </w:r>
          </w:p>
        </w:tc>
        <w:tc>
          <w:tcPr>
            <w:tcW w:w="6891" w:type="dxa"/>
            <w:tcBorders>
              <w:top w:val="single" w:sz="4" w:space="0" w:color="BFBFBF"/>
              <w:left w:val="nil"/>
              <w:right w:val="nil"/>
            </w:tcBorders>
            <w:shd w:val="clear" w:color="auto" w:fill="FFFFFF"/>
          </w:tcPr>
          <w:p w14:paraId="7D732F74" w14:textId="77777777" w:rsidR="001054FB" w:rsidRPr="006F468C" w:rsidRDefault="00566A5E" w:rsidP="006F532E">
            <w:pPr>
              <w:spacing w:before="120" w:after="120"/>
              <w:rPr>
                <w:rFonts w:cs="Arial"/>
                <w:color w:val="000000"/>
              </w:rPr>
            </w:pPr>
            <w:r>
              <w:rPr>
                <w:rFonts w:cs="Arial"/>
                <w:color w:val="000000"/>
              </w:rPr>
              <w:t>Full enhanced DBS</w:t>
            </w:r>
          </w:p>
        </w:tc>
      </w:tr>
      <w:tr w:rsidR="001054FB" w:rsidRPr="006F468C" w14:paraId="43DF7A73" w14:textId="77777777" w:rsidTr="001054FB">
        <w:tc>
          <w:tcPr>
            <w:tcW w:w="9242" w:type="dxa"/>
            <w:gridSpan w:val="2"/>
            <w:tcBorders>
              <w:top w:val="single" w:sz="4" w:space="0" w:color="BFBFBF"/>
            </w:tcBorders>
            <w:shd w:val="clear" w:color="auto" w:fill="auto"/>
          </w:tcPr>
          <w:p w14:paraId="13B28D32" w14:textId="77777777" w:rsidR="001054FB" w:rsidRPr="006F468C" w:rsidRDefault="001054FB" w:rsidP="001054FB">
            <w:pPr>
              <w:spacing w:after="0"/>
              <w:rPr>
                <w:rFonts w:cs="Arial"/>
                <w:color w:val="000000"/>
              </w:rPr>
            </w:pPr>
          </w:p>
        </w:tc>
      </w:tr>
      <w:tr w:rsidR="001054FB" w:rsidRPr="006F468C" w14:paraId="3A5FA292" w14:textId="77777777" w:rsidTr="006F532E">
        <w:tc>
          <w:tcPr>
            <w:tcW w:w="9242" w:type="dxa"/>
            <w:gridSpan w:val="2"/>
            <w:tcBorders>
              <w:top w:val="single" w:sz="8" w:space="0" w:color="000000"/>
              <w:bottom w:val="single" w:sz="8" w:space="0" w:color="000000"/>
            </w:tcBorders>
            <w:shd w:val="clear" w:color="auto" w:fill="F2F2F2"/>
          </w:tcPr>
          <w:p w14:paraId="6F696BF6" w14:textId="77777777" w:rsidR="001054FB" w:rsidRPr="006F468C" w:rsidRDefault="00907F54" w:rsidP="006F532E">
            <w:pPr>
              <w:pStyle w:val="Heading2"/>
              <w:spacing w:before="120"/>
              <w:rPr>
                <w:rFonts w:cs="Arial"/>
                <w:sz w:val="22"/>
                <w:szCs w:val="22"/>
              </w:rPr>
            </w:pPr>
            <w:r w:rsidRPr="006F468C">
              <w:rPr>
                <w:rFonts w:cs="Arial"/>
                <w:sz w:val="22"/>
                <w:szCs w:val="22"/>
              </w:rPr>
              <w:t>Who we are</w:t>
            </w:r>
          </w:p>
        </w:tc>
      </w:tr>
    </w:tbl>
    <w:p w14:paraId="01EC8B97" w14:textId="77777777" w:rsidR="006231FB" w:rsidRPr="006F468C" w:rsidRDefault="006231FB" w:rsidP="00277907">
      <w:pPr>
        <w:shd w:val="clear" w:color="auto" w:fill="FFFFFF"/>
        <w:spacing w:before="100" w:beforeAutospacing="1" w:after="100" w:afterAutospacing="1" w:line="240" w:lineRule="auto"/>
        <w:jc w:val="both"/>
        <w:textAlignment w:val="top"/>
        <w:rPr>
          <w:rFonts w:cs="Arial"/>
        </w:rPr>
      </w:pPr>
      <w:r w:rsidRPr="006F468C">
        <w:rPr>
          <w:rFonts w:cs="Arial"/>
        </w:rPr>
        <w:t xml:space="preserve">Catch22 exists to help build a society where everyone has a good place to live, good people around them, and a </w:t>
      </w:r>
      <w:r w:rsidR="006818F1" w:rsidRPr="006F468C">
        <w:rPr>
          <w:rFonts w:cs="Arial"/>
        </w:rPr>
        <w:t>fulfilling</w:t>
      </w:r>
      <w:r w:rsidRPr="006F468C">
        <w:rPr>
          <w:rFonts w:cs="Arial"/>
        </w:rPr>
        <w:t xml:space="preserve"> purpose. </w:t>
      </w:r>
      <w:hyperlink r:id="rId11" w:history="1">
        <w:r w:rsidRPr="006F468C">
          <w:rPr>
            <w:rFonts w:cs="Arial"/>
          </w:rPr>
          <w:t>We call these our '3Ps'.</w:t>
        </w:r>
      </w:hyperlink>
    </w:p>
    <w:p w14:paraId="6AB3DD72" w14:textId="77777777" w:rsidR="006231FB" w:rsidRDefault="006231FB" w:rsidP="00277907">
      <w:pPr>
        <w:shd w:val="clear" w:color="auto" w:fill="FFFFFF"/>
        <w:spacing w:before="100" w:beforeAutospacing="1" w:after="100" w:afterAutospacing="1"/>
        <w:jc w:val="both"/>
        <w:textAlignment w:val="top"/>
        <w:rPr>
          <w:rFonts w:cs="Arial"/>
        </w:rPr>
      </w:pPr>
      <w:r w:rsidRPr="006F468C">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11434419" w14:textId="77777777" w:rsidR="00BB1923" w:rsidRPr="00086944" w:rsidRDefault="00BB1923" w:rsidP="00BB1923">
      <w:pPr>
        <w:rPr>
          <w:rFonts w:cs="Arial"/>
        </w:rPr>
      </w:pPr>
      <w:r w:rsidRPr="00086944">
        <w:rPr>
          <w:rFonts w:cs="Arial"/>
        </w:rPr>
        <w:t>Our Young People and Families hub works with those in trouble, providing early intervention, targeted and specialist support services to those in crisis, leaving care, missing from home or with substance misuse or mental health problems. Services support people no matter what their situation – and have demonstrated a high success rate.</w:t>
      </w:r>
    </w:p>
    <w:p w14:paraId="5C9829DA" w14:textId="77777777" w:rsidR="00277907" w:rsidRPr="006F468C" w:rsidRDefault="00277907" w:rsidP="00277907">
      <w:pPr>
        <w:shd w:val="clear" w:color="auto" w:fill="FFFFFF"/>
        <w:spacing w:before="100" w:beforeAutospacing="1" w:after="100" w:afterAutospacing="1"/>
        <w:jc w:val="both"/>
        <w:textAlignment w:val="top"/>
        <w:rPr>
          <w:rFonts w:cs="Arial"/>
        </w:rPr>
      </w:pPr>
      <w:r>
        <w:t>The Willow Team is a Children’s Social Care led specialist multi-agency child exploitation team formed to specifically address the needs of children and young people who repeatedly go missing, or are at risk of sexual exploitation, criminal exploitation and trafficking.  The Willow Team works collaboratively with Hampshire Constabulary’s MET team, Hampshire’s Youth Offending Team, sexual health teams and St Giles Trust</w:t>
      </w:r>
    </w:p>
    <w:p w14:paraId="548A87EE" w14:textId="77777777" w:rsidR="00CA64FE" w:rsidRPr="006F468C" w:rsidRDefault="00CA64FE" w:rsidP="006818F1">
      <w:pPr>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6F468C" w14:paraId="10407D51"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618D9957" w14:textId="77777777" w:rsidR="001054FB" w:rsidRPr="006F468C" w:rsidRDefault="00907F54" w:rsidP="006F532E">
            <w:pPr>
              <w:pStyle w:val="Heading2"/>
              <w:spacing w:before="120"/>
              <w:rPr>
                <w:rFonts w:cs="Arial"/>
                <w:sz w:val="22"/>
                <w:szCs w:val="22"/>
              </w:rPr>
            </w:pPr>
            <w:r w:rsidRPr="006F468C">
              <w:rPr>
                <w:rFonts w:cs="Arial"/>
                <w:sz w:val="22"/>
                <w:szCs w:val="22"/>
              </w:rPr>
              <w:lastRenderedPageBreak/>
              <w:t>Where you fit in</w:t>
            </w:r>
          </w:p>
        </w:tc>
      </w:tr>
      <w:tr w:rsidR="008F2391" w:rsidRPr="006F468C" w14:paraId="55E47955" w14:textId="77777777" w:rsidTr="002A71A7">
        <w:tblPrEx>
          <w:tblBorders>
            <w:top w:val="nil"/>
            <w:left w:val="nil"/>
            <w:bottom w:val="nil"/>
            <w:right w:val="nil"/>
          </w:tblBorders>
          <w:tblLook w:val="0000" w:firstRow="0" w:lastRow="0" w:firstColumn="0" w:lastColumn="0" w:noHBand="0" w:noVBand="0"/>
        </w:tblPrEx>
        <w:trPr>
          <w:trHeight w:val="3994"/>
        </w:trPr>
        <w:tc>
          <w:tcPr>
            <w:tcW w:w="10243" w:type="dxa"/>
            <w:gridSpan w:val="2"/>
          </w:tcPr>
          <w:p w14:paraId="151456AF" w14:textId="77777777" w:rsidR="007675B3" w:rsidRDefault="007675B3" w:rsidP="0006024F">
            <w:pPr>
              <w:pStyle w:val="NormalWeb"/>
              <w:rPr>
                <w:rFonts w:ascii="Arial" w:eastAsia="Calibri" w:hAnsi="Arial" w:cs="Arial"/>
                <w:color w:val="000000"/>
                <w:sz w:val="22"/>
                <w:szCs w:val="22"/>
              </w:rPr>
            </w:pPr>
            <w:r>
              <w:rPr>
                <w:rFonts w:ascii="Arial" w:eastAsia="Calibri" w:hAnsi="Arial" w:cs="Arial"/>
                <w:color w:val="000000"/>
                <w:sz w:val="22"/>
                <w:szCs w:val="22"/>
              </w:rPr>
              <w:t>This exciting new role will see a Substance misuse practitioner working as part of the multi-agency Willow Team in Hampshire</w:t>
            </w:r>
          </w:p>
          <w:p w14:paraId="484E2B46" w14:textId="77777777" w:rsidR="0006024F" w:rsidRDefault="00CA64FE" w:rsidP="0006024F">
            <w:pPr>
              <w:pStyle w:val="NormalWeb"/>
              <w:rPr>
                <w:rFonts w:ascii="Arial" w:hAnsi="Arial" w:cs="Arial"/>
                <w:color w:val="000000"/>
                <w:sz w:val="22"/>
                <w:szCs w:val="22"/>
              </w:rPr>
            </w:pPr>
            <w:r w:rsidRPr="006F468C">
              <w:rPr>
                <w:rFonts w:ascii="Arial" w:eastAsia="Calibri" w:hAnsi="Arial" w:cs="Arial"/>
                <w:color w:val="000000"/>
                <w:sz w:val="22"/>
                <w:szCs w:val="22"/>
              </w:rPr>
              <w:t xml:space="preserve">As </w:t>
            </w:r>
            <w:r w:rsidR="00EB063B">
              <w:rPr>
                <w:rFonts w:ascii="Arial" w:eastAsia="Calibri" w:hAnsi="Arial" w:cs="Arial"/>
                <w:color w:val="000000"/>
                <w:sz w:val="22"/>
                <w:szCs w:val="22"/>
              </w:rPr>
              <w:t>a Substance Misuse Practitioner</w:t>
            </w:r>
            <w:r w:rsidR="007675B3">
              <w:rPr>
                <w:rFonts w:ascii="Arial" w:eastAsia="Calibri" w:hAnsi="Arial" w:cs="Arial"/>
                <w:color w:val="000000"/>
                <w:sz w:val="22"/>
                <w:szCs w:val="22"/>
              </w:rPr>
              <w:t xml:space="preserve"> in the Willow Team </w:t>
            </w:r>
            <w:r w:rsidR="002D3876" w:rsidRPr="006F468C">
              <w:rPr>
                <w:rFonts w:ascii="Arial" w:eastAsia="Calibri" w:hAnsi="Arial" w:cs="Arial"/>
                <w:color w:val="000000"/>
                <w:sz w:val="22"/>
                <w:szCs w:val="22"/>
              </w:rPr>
              <w:t>y</w:t>
            </w:r>
            <w:r w:rsidR="00737A12" w:rsidRPr="006F468C">
              <w:rPr>
                <w:rFonts w:ascii="Arial" w:hAnsi="Arial" w:cs="Arial"/>
                <w:color w:val="000000"/>
                <w:sz w:val="22"/>
                <w:szCs w:val="22"/>
              </w:rPr>
              <w:t>ou will be responsible for</w:t>
            </w:r>
            <w:r w:rsidR="00EB063B">
              <w:rPr>
                <w:rFonts w:ascii="Arial" w:hAnsi="Arial" w:cs="Arial"/>
                <w:color w:val="000000"/>
                <w:sz w:val="22"/>
                <w:szCs w:val="22"/>
              </w:rPr>
              <w:t>:</w:t>
            </w:r>
          </w:p>
          <w:p w14:paraId="79DF0301" w14:textId="77777777" w:rsidR="00566A5E" w:rsidRPr="00DC7E3E" w:rsidRDefault="00EB063B" w:rsidP="00566A5E">
            <w:pPr>
              <w:numPr>
                <w:ilvl w:val="0"/>
                <w:numId w:val="46"/>
              </w:numPr>
              <w:spacing w:after="0" w:line="240" w:lineRule="auto"/>
              <w:jc w:val="both"/>
              <w:rPr>
                <w:rFonts w:cs="Arial"/>
              </w:rPr>
            </w:pPr>
            <w:r>
              <w:rPr>
                <w:rFonts w:cs="Arial"/>
              </w:rPr>
              <w:t>Providing</w:t>
            </w:r>
            <w:r w:rsidR="00566A5E" w:rsidRPr="00DC7E3E">
              <w:rPr>
                <w:rFonts w:cs="Arial"/>
              </w:rPr>
              <w:t xml:space="preserve"> integrated </w:t>
            </w:r>
            <w:r w:rsidR="00566A5E">
              <w:rPr>
                <w:rFonts w:cs="Arial"/>
              </w:rPr>
              <w:t>targeted</w:t>
            </w:r>
            <w:r w:rsidR="007675B3">
              <w:rPr>
                <w:rFonts w:cs="Arial"/>
              </w:rPr>
              <w:t xml:space="preserve"> and </w:t>
            </w:r>
            <w:r w:rsidR="00566A5E" w:rsidRPr="00DC7E3E">
              <w:rPr>
                <w:rFonts w:cs="Arial"/>
              </w:rPr>
              <w:t>specialist</w:t>
            </w:r>
            <w:r w:rsidR="00566A5E">
              <w:rPr>
                <w:rFonts w:cs="Arial"/>
              </w:rPr>
              <w:t xml:space="preserve"> </w:t>
            </w:r>
            <w:r w:rsidR="00566A5E" w:rsidRPr="00DC7E3E">
              <w:rPr>
                <w:rFonts w:cs="Arial"/>
              </w:rPr>
              <w:t xml:space="preserve">structured treatment interventions for young people </w:t>
            </w:r>
            <w:r w:rsidR="007675B3">
              <w:rPr>
                <w:rFonts w:cs="Arial"/>
              </w:rPr>
              <w:t xml:space="preserve">under 18 </w:t>
            </w:r>
            <w:r w:rsidR="00566A5E" w:rsidRPr="00DC7E3E">
              <w:rPr>
                <w:rFonts w:cs="Arial"/>
              </w:rPr>
              <w:t>referred to the service under th</w:t>
            </w:r>
            <w:r w:rsidR="00566A5E">
              <w:rPr>
                <w:rFonts w:cs="Arial"/>
              </w:rPr>
              <w:t>e supervision of the management team</w:t>
            </w:r>
            <w:r w:rsidR="007675B3">
              <w:rPr>
                <w:rFonts w:cs="Arial"/>
              </w:rPr>
              <w:t>s of Catch22 and Willow</w:t>
            </w:r>
            <w:r w:rsidR="00566A5E">
              <w:rPr>
                <w:rFonts w:cs="Arial"/>
              </w:rPr>
              <w:t xml:space="preserve"> </w:t>
            </w:r>
          </w:p>
          <w:p w14:paraId="7B8330C0" w14:textId="77777777" w:rsidR="00566A5E" w:rsidRPr="00DC7E3E" w:rsidRDefault="00EB063B" w:rsidP="00566A5E">
            <w:pPr>
              <w:numPr>
                <w:ilvl w:val="0"/>
                <w:numId w:val="46"/>
              </w:numPr>
              <w:spacing w:after="0" w:line="240" w:lineRule="auto"/>
              <w:jc w:val="both"/>
              <w:rPr>
                <w:rFonts w:cs="Arial"/>
              </w:rPr>
            </w:pPr>
            <w:r>
              <w:rPr>
                <w:rFonts w:cs="Arial"/>
              </w:rPr>
              <w:t>Providing</w:t>
            </w:r>
            <w:r w:rsidR="00566A5E" w:rsidRPr="00DC7E3E">
              <w:rPr>
                <w:rFonts w:cs="Arial"/>
              </w:rPr>
              <w:t xml:space="preserve"> targeted</w:t>
            </w:r>
            <w:r w:rsidR="00AC5F56">
              <w:rPr>
                <w:rFonts w:cs="Arial"/>
              </w:rPr>
              <w:t xml:space="preserve"> and specialist</w:t>
            </w:r>
            <w:r w:rsidR="00566A5E" w:rsidRPr="00DC7E3E">
              <w:rPr>
                <w:rFonts w:cs="Arial"/>
              </w:rPr>
              <w:t xml:space="preserve"> interventions both 1:1 and group work</w:t>
            </w:r>
            <w:r w:rsidR="00566A5E">
              <w:rPr>
                <w:rFonts w:cs="Arial"/>
              </w:rPr>
              <w:t xml:space="preserve"> for those young people identified via triage, assessment and care planning. </w:t>
            </w:r>
          </w:p>
          <w:p w14:paraId="72F22B76" w14:textId="77777777" w:rsidR="00566A5E" w:rsidRPr="00DC7E3E" w:rsidRDefault="00EB063B" w:rsidP="00566A5E">
            <w:pPr>
              <w:numPr>
                <w:ilvl w:val="0"/>
                <w:numId w:val="46"/>
              </w:numPr>
              <w:spacing w:after="0" w:line="240" w:lineRule="auto"/>
              <w:jc w:val="both"/>
              <w:rPr>
                <w:rFonts w:cs="Arial"/>
              </w:rPr>
            </w:pPr>
            <w:r>
              <w:rPr>
                <w:rFonts w:cs="Arial"/>
              </w:rPr>
              <w:t>Providing</w:t>
            </w:r>
            <w:r w:rsidR="00566A5E" w:rsidRPr="00DC7E3E">
              <w:rPr>
                <w:rFonts w:cs="Arial"/>
              </w:rPr>
              <w:t xml:space="preserve"> sustained support to a pre-defined case load of young people who are referred by means of effective assessment and care planning.</w:t>
            </w:r>
          </w:p>
          <w:p w14:paraId="4F7A357E" w14:textId="77777777" w:rsidR="00277907" w:rsidRPr="00277907" w:rsidRDefault="007675B3" w:rsidP="00277907">
            <w:pPr>
              <w:numPr>
                <w:ilvl w:val="0"/>
                <w:numId w:val="46"/>
              </w:numPr>
              <w:spacing w:after="0" w:line="240" w:lineRule="auto"/>
              <w:jc w:val="both"/>
              <w:rPr>
                <w:rFonts w:cs="Arial"/>
              </w:rPr>
            </w:pPr>
            <w:r w:rsidRPr="00277907">
              <w:rPr>
                <w:rFonts w:cs="Arial"/>
              </w:rPr>
              <w:t xml:space="preserve">Providing informal training to the Willow Team staff around substances </w:t>
            </w:r>
            <w:r w:rsidR="00277907" w:rsidRPr="00277907">
              <w:rPr>
                <w:bCs/>
              </w:rPr>
              <w:t xml:space="preserve">to enable them to  deliver low level interventions to young people who may not reach the threshold for referral into each service but who would benefit from an early intervention alongside the core delivery offer. </w:t>
            </w:r>
          </w:p>
          <w:p w14:paraId="1E6304B5" w14:textId="77777777" w:rsidR="00566A5E" w:rsidRPr="00277907" w:rsidRDefault="00EB063B" w:rsidP="00277907">
            <w:pPr>
              <w:numPr>
                <w:ilvl w:val="0"/>
                <w:numId w:val="46"/>
              </w:numPr>
              <w:spacing w:after="0" w:line="240" w:lineRule="auto"/>
              <w:jc w:val="both"/>
              <w:rPr>
                <w:rFonts w:cs="Arial"/>
              </w:rPr>
            </w:pPr>
            <w:r w:rsidRPr="00277907">
              <w:rPr>
                <w:rFonts w:cs="Arial"/>
              </w:rPr>
              <w:t>Providing</w:t>
            </w:r>
            <w:r w:rsidR="00566A5E" w:rsidRPr="00277907">
              <w:rPr>
                <w:rFonts w:cs="Arial"/>
              </w:rPr>
              <w:t xml:space="preserve"> consultation and information to </w:t>
            </w:r>
            <w:r w:rsidR="007675B3" w:rsidRPr="00277907">
              <w:rPr>
                <w:rFonts w:cs="Arial"/>
              </w:rPr>
              <w:t>staff</w:t>
            </w:r>
            <w:r w:rsidR="00566A5E" w:rsidRPr="00277907">
              <w:rPr>
                <w:rFonts w:cs="Arial"/>
              </w:rPr>
              <w:t xml:space="preserve"> </w:t>
            </w:r>
            <w:r w:rsidR="007675B3" w:rsidRPr="00277907">
              <w:rPr>
                <w:rFonts w:cs="Arial"/>
              </w:rPr>
              <w:t>within the Willow Team</w:t>
            </w:r>
          </w:p>
          <w:p w14:paraId="57B856BD" w14:textId="77777777" w:rsidR="008F2391" w:rsidRPr="006F468C" w:rsidRDefault="00EB063B" w:rsidP="00566A5E">
            <w:pPr>
              <w:numPr>
                <w:ilvl w:val="0"/>
                <w:numId w:val="46"/>
              </w:numPr>
              <w:spacing w:after="0" w:line="240" w:lineRule="auto"/>
              <w:jc w:val="both"/>
              <w:rPr>
                <w:rFonts w:cs="Arial"/>
              </w:rPr>
            </w:pPr>
            <w:r>
              <w:rPr>
                <w:rFonts w:cs="Arial"/>
              </w:rPr>
              <w:t>Offering</w:t>
            </w:r>
            <w:r w:rsidR="00566A5E" w:rsidRPr="00566A5E">
              <w:rPr>
                <w:rFonts w:cs="Arial"/>
              </w:rPr>
              <w:t xml:space="preserve"> a flexible and adaptive approach to support evening and weekend working, where required.  </w:t>
            </w:r>
          </w:p>
        </w:tc>
      </w:tr>
      <w:tr w:rsidR="00402A36" w:rsidRPr="006F468C" w14:paraId="28C291BA" w14:textId="77777777" w:rsidTr="002A71A7">
        <w:tblPrEx>
          <w:tblBorders>
            <w:top w:val="nil"/>
            <w:left w:val="nil"/>
            <w:bottom w:val="nil"/>
            <w:right w:val="nil"/>
          </w:tblBorders>
          <w:tblLook w:val="0000" w:firstRow="0" w:lastRow="0" w:firstColumn="0" w:lastColumn="0" w:noHBand="0" w:noVBand="0"/>
        </w:tblPrEx>
        <w:trPr>
          <w:trHeight w:val="167"/>
        </w:trPr>
        <w:tc>
          <w:tcPr>
            <w:tcW w:w="10243" w:type="dxa"/>
            <w:gridSpan w:val="2"/>
          </w:tcPr>
          <w:p w14:paraId="390FA891" w14:textId="77777777" w:rsidR="00402A36" w:rsidRPr="006F468C" w:rsidRDefault="00402A36" w:rsidP="00402A36">
            <w:pPr>
              <w:rPr>
                <w:rFonts w:cs="Arial"/>
                <w:lang w:eastAsia="en-GB"/>
              </w:rPr>
            </w:pPr>
          </w:p>
        </w:tc>
      </w:tr>
      <w:tr w:rsidR="00D411D8" w:rsidRPr="006F468C" w14:paraId="570F5442"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4B5D583F" w14:textId="77777777" w:rsidR="00D411D8" w:rsidRPr="006F468C" w:rsidRDefault="009D59B3" w:rsidP="002547EE">
            <w:pPr>
              <w:pStyle w:val="Heading2"/>
              <w:spacing w:before="120"/>
              <w:rPr>
                <w:rFonts w:cs="Arial"/>
                <w:sz w:val="22"/>
                <w:szCs w:val="22"/>
              </w:rPr>
            </w:pPr>
            <w:r w:rsidRPr="006F468C">
              <w:rPr>
                <w:rFonts w:cs="Arial"/>
                <w:sz w:val="22"/>
                <w:szCs w:val="22"/>
              </w:rPr>
              <w:t>M</w:t>
            </w:r>
            <w:r w:rsidR="00D411D8" w:rsidRPr="006F468C">
              <w:rPr>
                <w:rFonts w:cs="Arial"/>
                <w:sz w:val="22"/>
                <w:szCs w:val="22"/>
              </w:rPr>
              <w:t>ain Duties &amp; Accountabilities</w:t>
            </w:r>
          </w:p>
        </w:tc>
      </w:tr>
    </w:tbl>
    <w:p w14:paraId="02204CFC" w14:textId="77777777" w:rsidR="00566A5E" w:rsidRDefault="00566A5E" w:rsidP="00566A5E">
      <w:pPr>
        <w:pStyle w:val="BodyTextIndent"/>
        <w:spacing w:after="0" w:line="240" w:lineRule="auto"/>
        <w:ind w:left="720"/>
        <w:jc w:val="both"/>
        <w:rPr>
          <w:rFonts w:cs="Arial"/>
        </w:rPr>
      </w:pPr>
    </w:p>
    <w:p w14:paraId="2C360D54"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To carry out effective holistic assessment of the young person</w:t>
      </w:r>
      <w:r w:rsidR="00014A46">
        <w:rPr>
          <w:rFonts w:cs="Arial"/>
        </w:rPr>
        <w:t>’s substance use</w:t>
      </w:r>
    </w:p>
    <w:p w14:paraId="30AA28AF"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To organise, design and deliver a range of specialist and targeted interventions, based on the clients identified nee</w:t>
      </w:r>
      <w:r>
        <w:rPr>
          <w:rFonts w:cs="Arial"/>
        </w:rPr>
        <w:t xml:space="preserve">ds for young people aged 11 – 18 </w:t>
      </w:r>
    </w:p>
    <w:p w14:paraId="0AE791E7" w14:textId="77777777" w:rsidR="00566A5E" w:rsidRDefault="00566A5E" w:rsidP="00566A5E">
      <w:pPr>
        <w:pStyle w:val="BodyTextIndent"/>
        <w:numPr>
          <w:ilvl w:val="0"/>
          <w:numId w:val="47"/>
        </w:numPr>
        <w:spacing w:after="0" w:line="240" w:lineRule="auto"/>
        <w:jc w:val="both"/>
        <w:rPr>
          <w:rFonts w:cs="Arial"/>
        </w:rPr>
      </w:pPr>
      <w:r w:rsidRPr="00DC7E3E">
        <w:rPr>
          <w:rFonts w:cs="Arial"/>
        </w:rPr>
        <w:t xml:space="preserve">To develop, monitor, evaluate and </w:t>
      </w:r>
      <w:r>
        <w:rPr>
          <w:rFonts w:cs="Arial"/>
        </w:rPr>
        <w:t xml:space="preserve">report on the care plans for children and </w:t>
      </w:r>
      <w:r w:rsidRPr="00DC7E3E">
        <w:rPr>
          <w:rFonts w:cs="Arial"/>
        </w:rPr>
        <w:t xml:space="preserve">young people. </w:t>
      </w:r>
    </w:p>
    <w:p w14:paraId="70D4F39A" w14:textId="77777777" w:rsidR="00AA7470" w:rsidRPr="008B0E89" w:rsidRDefault="00AA7470" w:rsidP="00566A5E">
      <w:pPr>
        <w:pStyle w:val="BodyTextIndent"/>
        <w:numPr>
          <w:ilvl w:val="0"/>
          <w:numId w:val="47"/>
        </w:numPr>
        <w:spacing w:after="0" w:line="240" w:lineRule="auto"/>
        <w:jc w:val="both"/>
        <w:rPr>
          <w:rFonts w:cs="Arial"/>
        </w:rPr>
      </w:pPr>
      <w:r w:rsidRPr="008B0E89">
        <w:rPr>
          <w:rFonts w:cs="Arial"/>
        </w:rPr>
        <w:t>To provide low level, targeted exploitation sessions to young people alongside their substance misuse interventions</w:t>
      </w:r>
    </w:p>
    <w:p w14:paraId="34924CFD"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 xml:space="preserve">To </w:t>
      </w:r>
      <w:r w:rsidR="007675B3">
        <w:rPr>
          <w:rFonts w:cs="Arial"/>
        </w:rPr>
        <w:t>refer</w:t>
      </w:r>
      <w:r w:rsidRPr="00DC7E3E">
        <w:rPr>
          <w:rFonts w:cs="Arial"/>
        </w:rPr>
        <w:t xml:space="preserve"> young people to </w:t>
      </w:r>
      <w:r w:rsidR="007675B3">
        <w:rPr>
          <w:rFonts w:cs="Arial"/>
        </w:rPr>
        <w:t xml:space="preserve">Catch22 treatment service to </w:t>
      </w:r>
      <w:r w:rsidRPr="00DC7E3E">
        <w:rPr>
          <w:rFonts w:cs="Arial"/>
        </w:rPr>
        <w:t>access appropriate prescribing services</w:t>
      </w:r>
      <w:r>
        <w:rPr>
          <w:rFonts w:cs="Arial"/>
        </w:rPr>
        <w:t xml:space="preserve">, if required. </w:t>
      </w:r>
    </w:p>
    <w:p w14:paraId="6BA04B11"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 xml:space="preserve">To </w:t>
      </w:r>
      <w:r w:rsidR="00AC5F56">
        <w:rPr>
          <w:rFonts w:cs="Arial"/>
        </w:rPr>
        <w:t xml:space="preserve">refer </w:t>
      </w:r>
      <w:r w:rsidRPr="00DC7E3E">
        <w:rPr>
          <w:rFonts w:cs="Arial"/>
        </w:rPr>
        <w:t>young people to access appropriate sexual health and BBV services and to facilitate the offer of personalised Hep B/C tests for certain clients.</w:t>
      </w:r>
    </w:p>
    <w:p w14:paraId="7F6CBE1D" w14:textId="77777777" w:rsidR="00566A5E" w:rsidRPr="008B0E89" w:rsidRDefault="00566A5E" w:rsidP="00566A5E">
      <w:pPr>
        <w:pStyle w:val="BodyTextIndent"/>
        <w:numPr>
          <w:ilvl w:val="0"/>
          <w:numId w:val="47"/>
        </w:numPr>
        <w:spacing w:after="0" w:line="240" w:lineRule="auto"/>
        <w:jc w:val="both"/>
        <w:rPr>
          <w:rFonts w:cs="Arial"/>
        </w:rPr>
      </w:pPr>
      <w:r w:rsidRPr="008B0E89">
        <w:rPr>
          <w:rFonts w:cs="Arial"/>
        </w:rPr>
        <w:t xml:space="preserve">To hold a caseload of up to </w:t>
      </w:r>
      <w:r w:rsidR="008B0E89">
        <w:rPr>
          <w:rFonts w:cs="Arial"/>
        </w:rPr>
        <w:t>1</w:t>
      </w:r>
      <w:r w:rsidR="00AA7470" w:rsidRPr="008B0E89">
        <w:rPr>
          <w:rFonts w:cs="Arial"/>
        </w:rPr>
        <w:t>5</w:t>
      </w:r>
      <w:r w:rsidRPr="008B0E89">
        <w:rPr>
          <w:rFonts w:cs="Arial"/>
        </w:rPr>
        <w:t xml:space="preserve"> children and young people at any one time (dependant on need). </w:t>
      </w:r>
    </w:p>
    <w:p w14:paraId="09C650F4"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To liaise effectively with other agencies</w:t>
      </w:r>
      <w:r w:rsidR="007675B3">
        <w:rPr>
          <w:rFonts w:cs="Arial"/>
        </w:rPr>
        <w:t xml:space="preserve"> involved in the young persons care</w:t>
      </w:r>
      <w:r w:rsidRPr="00DC7E3E">
        <w:rPr>
          <w:rFonts w:cs="Arial"/>
        </w:rPr>
        <w:t xml:space="preserve"> and work in partnership wit</w:t>
      </w:r>
      <w:r w:rsidR="007675B3">
        <w:rPr>
          <w:rFonts w:cs="Arial"/>
        </w:rPr>
        <w:t xml:space="preserve">h them to </w:t>
      </w:r>
      <w:r>
        <w:rPr>
          <w:rFonts w:cs="Arial"/>
        </w:rPr>
        <w:t xml:space="preserve">reduce potential and presenting risks. </w:t>
      </w:r>
    </w:p>
    <w:p w14:paraId="181C6235"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 xml:space="preserve">To provide advice, support and guidance for professionals working with young people </w:t>
      </w:r>
    </w:p>
    <w:p w14:paraId="13F03C43"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 xml:space="preserve">To ensure affective participation and feedback from the </w:t>
      </w:r>
      <w:r>
        <w:rPr>
          <w:rFonts w:cs="Arial"/>
        </w:rPr>
        <w:t xml:space="preserve">children and </w:t>
      </w:r>
      <w:r w:rsidRPr="00DC7E3E">
        <w:rPr>
          <w:rFonts w:cs="Arial"/>
        </w:rPr>
        <w:t xml:space="preserve">young people to contribute to the </w:t>
      </w:r>
      <w:r w:rsidR="00C32FBB">
        <w:rPr>
          <w:rFonts w:cs="Arial"/>
        </w:rPr>
        <w:t>funding reporting from OPCC</w:t>
      </w:r>
    </w:p>
    <w:p w14:paraId="024481E1"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 xml:space="preserve">To act as an advocate for the young person as required </w:t>
      </w:r>
    </w:p>
    <w:p w14:paraId="1937364F"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To be an active member of the</w:t>
      </w:r>
      <w:r w:rsidR="00C32FBB">
        <w:rPr>
          <w:rFonts w:cs="Arial"/>
        </w:rPr>
        <w:t xml:space="preserve"> Willow</w:t>
      </w:r>
      <w:r w:rsidRPr="00DC7E3E">
        <w:rPr>
          <w:rFonts w:cs="Arial"/>
        </w:rPr>
        <w:t xml:space="preserve"> team attending meetings and training events as necessary. </w:t>
      </w:r>
    </w:p>
    <w:p w14:paraId="762B3690" w14:textId="77777777" w:rsidR="00566A5E" w:rsidRDefault="00566A5E" w:rsidP="00566A5E">
      <w:pPr>
        <w:pStyle w:val="BodyTextIndent"/>
        <w:numPr>
          <w:ilvl w:val="0"/>
          <w:numId w:val="47"/>
        </w:numPr>
        <w:spacing w:after="0" w:line="240" w:lineRule="auto"/>
        <w:jc w:val="both"/>
        <w:rPr>
          <w:rFonts w:cs="Arial"/>
        </w:rPr>
      </w:pPr>
      <w:r>
        <w:rPr>
          <w:rFonts w:cs="Arial"/>
        </w:rPr>
        <w:t>To ensure that the service</w:t>
      </w:r>
      <w:r w:rsidRPr="00DC7E3E">
        <w:rPr>
          <w:rFonts w:cs="Arial"/>
        </w:rPr>
        <w:t xml:space="preserve"> promotes and reflects equality of opportunity and diversity at all levels.</w:t>
      </w:r>
    </w:p>
    <w:p w14:paraId="72D91630" w14:textId="77777777" w:rsidR="00AA7470" w:rsidRDefault="009447B4" w:rsidP="00F43502">
      <w:pPr>
        <w:numPr>
          <w:ilvl w:val="0"/>
          <w:numId w:val="47"/>
        </w:numPr>
        <w:spacing w:after="0" w:line="240" w:lineRule="auto"/>
        <w:jc w:val="both"/>
        <w:rPr>
          <w:rFonts w:cs="Arial"/>
        </w:rPr>
      </w:pPr>
      <w:r w:rsidRPr="00AA7470">
        <w:rPr>
          <w:rFonts w:cs="Arial"/>
        </w:rPr>
        <w:t>Contribu</w:t>
      </w:r>
      <w:r w:rsidR="00AA7470" w:rsidRPr="00AA7470">
        <w:rPr>
          <w:rFonts w:cs="Arial"/>
        </w:rPr>
        <w:t>t</w:t>
      </w:r>
      <w:r w:rsidRPr="00AA7470">
        <w:rPr>
          <w:rFonts w:cs="Arial"/>
        </w:rPr>
        <w:t>e to formal training across the Pan Hampshire area</w:t>
      </w:r>
    </w:p>
    <w:p w14:paraId="0D353497" w14:textId="77777777" w:rsidR="009447B4" w:rsidRPr="00AA7470" w:rsidRDefault="009447B4" w:rsidP="00F43502">
      <w:pPr>
        <w:numPr>
          <w:ilvl w:val="0"/>
          <w:numId w:val="47"/>
        </w:numPr>
        <w:spacing w:after="0" w:line="240" w:lineRule="auto"/>
        <w:jc w:val="both"/>
        <w:rPr>
          <w:rFonts w:cs="Arial"/>
        </w:rPr>
      </w:pPr>
      <w:r w:rsidRPr="00AA7470">
        <w:rPr>
          <w:rFonts w:cs="Arial"/>
        </w:rPr>
        <w:t>Supporting the Operational MET meetings where required</w:t>
      </w:r>
    </w:p>
    <w:p w14:paraId="4D2F2FCA" w14:textId="77777777" w:rsidR="00566A5E" w:rsidRPr="008B0E89" w:rsidRDefault="00566A5E" w:rsidP="00566A5E">
      <w:pPr>
        <w:pStyle w:val="BodyTextIndent"/>
        <w:numPr>
          <w:ilvl w:val="0"/>
          <w:numId w:val="47"/>
        </w:numPr>
        <w:spacing w:after="0" w:line="240" w:lineRule="auto"/>
        <w:jc w:val="both"/>
        <w:rPr>
          <w:rFonts w:cs="Arial"/>
        </w:rPr>
      </w:pPr>
      <w:r w:rsidRPr="008B0E89">
        <w:rPr>
          <w:rFonts w:cs="Arial"/>
        </w:rPr>
        <w:lastRenderedPageBreak/>
        <w:t xml:space="preserve">To maintain highly effective administrative and reporting processes. To </w:t>
      </w:r>
      <w:r w:rsidR="00014A46" w:rsidRPr="008B0E89">
        <w:rPr>
          <w:rFonts w:cs="Arial"/>
        </w:rPr>
        <w:t>record case notes on</w:t>
      </w:r>
      <w:r w:rsidR="00AC5F56" w:rsidRPr="008B0E89">
        <w:rPr>
          <w:rFonts w:cs="Arial"/>
        </w:rPr>
        <w:t xml:space="preserve"> Catch22 </w:t>
      </w:r>
      <w:r w:rsidRPr="008B0E89">
        <w:rPr>
          <w:rFonts w:cs="Arial"/>
        </w:rPr>
        <w:t>ILLY Care Path</w:t>
      </w:r>
      <w:r w:rsidR="0092184B" w:rsidRPr="008B0E89">
        <w:rPr>
          <w:rFonts w:cs="Arial"/>
        </w:rPr>
        <w:t xml:space="preserve"> and </w:t>
      </w:r>
      <w:r w:rsidR="008B0E89">
        <w:rPr>
          <w:rFonts w:cs="Arial"/>
        </w:rPr>
        <w:t>MOSAIC</w:t>
      </w:r>
      <w:r w:rsidRPr="008B0E89">
        <w:rPr>
          <w:rFonts w:cs="Arial"/>
        </w:rPr>
        <w:t xml:space="preserve"> syst</w:t>
      </w:r>
      <w:r w:rsidR="009447B4" w:rsidRPr="008B0E89">
        <w:rPr>
          <w:rFonts w:cs="Arial"/>
        </w:rPr>
        <w:t xml:space="preserve">ems to </w:t>
      </w:r>
      <w:r w:rsidRPr="008B0E89">
        <w:rPr>
          <w:rFonts w:cs="Arial"/>
        </w:rPr>
        <w:t>maintain key performance indicators in line with service (PHE)</w:t>
      </w:r>
      <w:r w:rsidR="00014A46" w:rsidRPr="008B0E89">
        <w:rPr>
          <w:rFonts w:cs="Arial"/>
        </w:rPr>
        <w:t xml:space="preserve"> and OPCC</w:t>
      </w:r>
      <w:r w:rsidRPr="008B0E89">
        <w:rPr>
          <w:rFonts w:cs="Arial"/>
        </w:rPr>
        <w:t xml:space="preserve"> deliverables. </w:t>
      </w:r>
    </w:p>
    <w:p w14:paraId="2649354C" w14:textId="77777777" w:rsidR="00AA7470" w:rsidRPr="008B0E89" w:rsidRDefault="00AA7470" w:rsidP="00566A5E">
      <w:pPr>
        <w:pStyle w:val="BodyTextIndent"/>
        <w:numPr>
          <w:ilvl w:val="0"/>
          <w:numId w:val="47"/>
        </w:numPr>
        <w:spacing w:after="0" w:line="240" w:lineRule="auto"/>
        <w:jc w:val="both"/>
        <w:rPr>
          <w:rFonts w:cs="Arial"/>
        </w:rPr>
      </w:pPr>
      <w:r w:rsidRPr="008B0E89">
        <w:rPr>
          <w:rFonts w:cs="Arial"/>
        </w:rPr>
        <w:t>To collect demographics and other</w:t>
      </w:r>
      <w:r w:rsidR="0092184B" w:rsidRPr="008B0E89">
        <w:rPr>
          <w:rFonts w:cs="Arial"/>
        </w:rPr>
        <w:t xml:space="preserve"> data for quarterly reporting for OPCC on a weekly basis to ensure we can evidence the outcomes of the project</w:t>
      </w:r>
    </w:p>
    <w:p w14:paraId="618E6113" w14:textId="77777777" w:rsidR="00566A5E" w:rsidRPr="00DC7E3E" w:rsidRDefault="00566A5E" w:rsidP="00566A5E">
      <w:pPr>
        <w:pStyle w:val="BodyTextIndent"/>
        <w:numPr>
          <w:ilvl w:val="0"/>
          <w:numId w:val="47"/>
        </w:numPr>
        <w:spacing w:after="0" w:line="240" w:lineRule="auto"/>
        <w:jc w:val="both"/>
        <w:rPr>
          <w:rFonts w:cs="Arial"/>
        </w:rPr>
      </w:pPr>
      <w:r w:rsidRPr="00DC7E3E">
        <w:rPr>
          <w:rFonts w:cs="Arial"/>
        </w:rPr>
        <w:t>To be able to work flexibly including some weekend and evening work when necessary in order to mee</w:t>
      </w:r>
      <w:r>
        <w:rPr>
          <w:rFonts w:cs="Arial"/>
        </w:rPr>
        <w:t xml:space="preserve">t the needs of </w:t>
      </w:r>
      <w:r w:rsidR="00014A46">
        <w:rPr>
          <w:rFonts w:cs="Arial"/>
        </w:rPr>
        <w:t>your caseload and the</w:t>
      </w:r>
      <w:r>
        <w:rPr>
          <w:rFonts w:cs="Arial"/>
        </w:rPr>
        <w:t xml:space="preserve"> </w:t>
      </w:r>
      <w:r w:rsidR="00C32FBB">
        <w:rPr>
          <w:rFonts w:cs="Arial"/>
        </w:rPr>
        <w:t xml:space="preserve">Willow </w:t>
      </w:r>
      <w:r w:rsidR="00014A46">
        <w:rPr>
          <w:rFonts w:cs="Arial"/>
        </w:rPr>
        <w:t>Team</w:t>
      </w:r>
    </w:p>
    <w:p w14:paraId="2E2F0625" w14:textId="77777777" w:rsidR="00566A5E" w:rsidRDefault="00566A5E" w:rsidP="00566A5E">
      <w:pPr>
        <w:pStyle w:val="BodyTextIndent"/>
        <w:numPr>
          <w:ilvl w:val="0"/>
          <w:numId w:val="47"/>
        </w:numPr>
        <w:spacing w:after="0" w:line="240" w:lineRule="auto"/>
        <w:jc w:val="both"/>
        <w:rPr>
          <w:rFonts w:cs="Arial"/>
        </w:rPr>
      </w:pPr>
      <w:r w:rsidRPr="00DC7E3E">
        <w:rPr>
          <w:rFonts w:cs="Arial"/>
        </w:rPr>
        <w:t>To ensure that you are up-to date on all relevant policies and procedures in line with local and governmental framework</w:t>
      </w:r>
      <w:r>
        <w:rPr>
          <w:rFonts w:cs="Arial"/>
        </w:rPr>
        <w:t xml:space="preserve">s and practice standards. </w:t>
      </w:r>
    </w:p>
    <w:p w14:paraId="5D0B9707" w14:textId="77777777" w:rsidR="003B2762" w:rsidRPr="006F468C" w:rsidRDefault="003B2762" w:rsidP="00566A5E">
      <w:pPr>
        <w:rPr>
          <w:rFonts w:cs="Arial"/>
          <w:bCs/>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3B2762" w:rsidRPr="006F468C" w14:paraId="442006F0" w14:textId="77777777" w:rsidTr="00935F31">
        <w:tc>
          <w:tcPr>
            <w:tcW w:w="9242" w:type="dxa"/>
            <w:tcBorders>
              <w:top w:val="single" w:sz="8" w:space="0" w:color="000000"/>
              <w:bottom w:val="single" w:sz="8" w:space="0" w:color="000000"/>
            </w:tcBorders>
            <w:shd w:val="clear" w:color="auto" w:fill="F2F2F2"/>
          </w:tcPr>
          <w:p w14:paraId="20ADBC5D" w14:textId="77777777" w:rsidR="003B2762" w:rsidRPr="006F468C" w:rsidRDefault="003B2762" w:rsidP="00935F31">
            <w:pPr>
              <w:pStyle w:val="Heading2"/>
              <w:spacing w:before="120"/>
              <w:rPr>
                <w:rFonts w:cs="Arial"/>
                <w:sz w:val="22"/>
                <w:szCs w:val="22"/>
              </w:rPr>
            </w:pPr>
            <w:r w:rsidRPr="006F468C">
              <w:rPr>
                <w:rFonts w:cs="Arial"/>
                <w:sz w:val="22"/>
                <w:szCs w:val="22"/>
              </w:rPr>
              <w:t>What does good look like for this role?</w:t>
            </w:r>
          </w:p>
        </w:tc>
      </w:tr>
    </w:tbl>
    <w:p w14:paraId="1BB70626" w14:textId="77777777" w:rsidR="00C81C4A" w:rsidRPr="006F468C" w:rsidRDefault="00C81C4A" w:rsidP="00891448">
      <w:pPr>
        <w:widowControl w:val="0"/>
        <w:numPr>
          <w:ilvl w:val="0"/>
          <w:numId w:val="45"/>
        </w:numPr>
        <w:spacing w:after="0"/>
        <w:rPr>
          <w:rFonts w:cs="Arial"/>
        </w:rPr>
      </w:pPr>
      <w:r w:rsidRPr="006F468C">
        <w:rPr>
          <w:rFonts w:cs="Arial"/>
        </w:rPr>
        <w:t xml:space="preserve">Catch22 </w:t>
      </w:r>
      <w:r w:rsidR="00957892" w:rsidRPr="006F468C">
        <w:rPr>
          <w:rFonts w:cs="Arial"/>
        </w:rPr>
        <w:t xml:space="preserve">vision and values are embedded </w:t>
      </w:r>
      <w:r w:rsidRPr="006F468C">
        <w:rPr>
          <w:rFonts w:cs="Arial"/>
        </w:rPr>
        <w:t>across portfolio of services</w:t>
      </w:r>
    </w:p>
    <w:p w14:paraId="577394EE" w14:textId="77777777" w:rsidR="00891448" w:rsidRPr="006F468C" w:rsidRDefault="00891448" w:rsidP="00D65B7E">
      <w:pPr>
        <w:widowControl w:val="0"/>
        <w:spacing w:after="0"/>
        <w:rPr>
          <w:rFonts w:cs="Arial"/>
        </w:rPr>
      </w:pPr>
    </w:p>
    <w:p w14:paraId="08253FFD" w14:textId="77777777" w:rsidR="00C81C4A" w:rsidRPr="006F468C" w:rsidRDefault="00957892" w:rsidP="00891448">
      <w:pPr>
        <w:widowControl w:val="0"/>
        <w:numPr>
          <w:ilvl w:val="0"/>
          <w:numId w:val="45"/>
        </w:numPr>
        <w:spacing w:after="0"/>
        <w:rPr>
          <w:rFonts w:cs="Arial"/>
        </w:rPr>
      </w:pPr>
      <w:r w:rsidRPr="006F468C">
        <w:rPr>
          <w:rFonts w:cs="Arial"/>
        </w:rPr>
        <w:t>All s</w:t>
      </w:r>
      <w:r w:rsidR="00C81C4A" w:rsidRPr="006F468C">
        <w:rPr>
          <w:rFonts w:cs="Arial"/>
        </w:rPr>
        <w:t xml:space="preserve">ervices are meeting their </w:t>
      </w:r>
      <w:r w:rsidRPr="006F468C">
        <w:rPr>
          <w:rFonts w:cs="Arial"/>
        </w:rPr>
        <w:t xml:space="preserve">contractual </w:t>
      </w:r>
      <w:r w:rsidR="00C81C4A" w:rsidRPr="006F468C">
        <w:rPr>
          <w:rFonts w:cs="Arial"/>
        </w:rPr>
        <w:t xml:space="preserve">targets </w:t>
      </w:r>
      <w:r w:rsidRPr="006F468C">
        <w:rPr>
          <w:rFonts w:cs="Arial"/>
        </w:rPr>
        <w:t>and KPIs</w:t>
      </w:r>
    </w:p>
    <w:p w14:paraId="18147201" w14:textId="77777777" w:rsidR="00C81C4A" w:rsidRPr="006F468C" w:rsidRDefault="00C81C4A" w:rsidP="00D65B7E">
      <w:pPr>
        <w:widowControl w:val="0"/>
        <w:spacing w:after="0"/>
        <w:rPr>
          <w:rFonts w:cs="Arial"/>
        </w:rPr>
      </w:pPr>
    </w:p>
    <w:p w14:paraId="63664077" w14:textId="77777777" w:rsidR="00D65B7E" w:rsidRPr="006F468C" w:rsidRDefault="00957892" w:rsidP="00891448">
      <w:pPr>
        <w:widowControl w:val="0"/>
        <w:numPr>
          <w:ilvl w:val="0"/>
          <w:numId w:val="45"/>
        </w:numPr>
        <w:spacing w:after="0"/>
        <w:rPr>
          <w:rFonts w:cs="Arial"/>
          <w:color w:val="000000"/>
        </w:rPr>
      </w:pPr>
      <w:r w:rsidRPr="006F468C">
        <w:rPr>
          <w:rFonts w:cs="Arial"/>
        </w:rPr>
        <w:t>All services are m</w:t>
      </w:r>
      <w:r w:rsidR="00C81C4A" w:rsidRPr="006F468C">
        <w:rPr>
          <w:rFonts w:cs="Arial"/>
          <w:color w:val="000000"/>
        </w:rPr>
        <w:t>eeting</w:t>
      </w:r>
      <w:r w:rsidRPr="006F468C">
        <w:rPr>
          <w:rFonts w:cs="Arial"/>
          <w:color w:val="000000"/>
        </w:rPr>
        <w:t xml:space="preserve"> their financial</w:t>
      </w:r>
      <w:r w:rsidR="00C81C4A" w:rsidRPr="006F468C">
        <w:rPr>
          <w:rFonts w:cs="Arial"/>
          <w:color w:val="000000"/>
        </w:rPr>
        <w:t xml:space="preserve"> performance targets and delivering margin </w:t>
      </w:r>
    </w:p>
    <w:p w14:paraId="64C40698" w14:textId="77777777" w:rsidR="007161FA" w:rsidRPr="006F468C" w:rsidRDefault="007161FA" w:rsidP="007161FA">
      <w:pPr>
        <w:pStyle w:val="ListParagraph"/>
        <w:rPr>
          <w:rFonts w:cs="Arial"/>
          <w:color w:val="000000"/>
        </w:rPr>
      </w:pPr>
    </w:p>
    <w:p w14:paraId="4F3DEE9A" w14:textId="77777777" w:rsidR="007161FA" w:rsidRPr="006F468C" w:rsidRDefault="00427C5A" w:rsidP="00891448">
      <w:pPr>
        <w:widowControl w:val="0"/>
        <w:numPr>
          <w:ilvl w:val="0"/>
          <w:numId w:val="45"/>
        </w:numPr>
        <w:spacing w:after="0"/>
        <w:rPr>
          <w:rFonts w:cs="Arial"/>
          <w:color w:val="000000"/>
        </w:rPr>
      </w:pPr>
      <w:r w:rsidRPr="006F468C">
        <w:rPr>
          <w:rFonts w:cs="Arial"/>
          <w:color w:val="000000"/>
        </w:rPr>
        <w:t>Managing risk</w:t>
      </w:r>
      <w:r w:rsidR="006F468C">
        <w:rPr>
          <w:rFonts w:cs="Arial"/>
          <w:color w:val="000000"/>
        </w:rPr>
        <w:t xml:space="preserve"> and making appropriate remedial action</w:t>
      </w:r>
    </w:p>
    <w:p w14:paraId="15F76DAE" w14:textId="77777777" w:rsidR="007161FA" w:rsidRPr="006F468C" w:rsidRDefault="007161FA" w:rsidP="007161FA">
      <w:pPr>
        <w:widowControl w:val="0"/>
        <w:spacing w:after="0"/>
        <w:ind w:left="720"/>
        <w:rPr>
          <w:rFonts w:cs="Arial"/>
          <w:color w:val="000000"/>
        </w:rPr>
      </w:pPr>
    </w:p>
    <w:p w14:paraId="5037569F" w14:textId="77777777" w:rsidR="004D1D0A" w:rsidRPr="006F468C" w:rsidRDefault="007161FA" w:rsidP="00891448">
      <w:pPr>
        <w:widowControl w:val="0"/>
        <w:numPr>
          <w:ilvl w:val="0"/>
          <w:numId w:val="45"/>
        </w:numPr>
        <w:spacing w:after="0"/>
        <w:rPr>
          <w:rFonts w:cs="Arial"/>
          <w:color w:val="000000"/>
        </w:rPr>
      </w:pPr>
      <w:r w:rsidRPr="006F468C">
        <w:rPr>
          <w:rFonts w:cs="Arial"/>
          <w:color w:val="000000"/>
        </w:rPr>
        <w:t>Our S</w:t>
      </w:r>
      <w:r w:rsidR="004D1D0A" w:rsidRPr="006F468C">
        <w:rPr>
          <w:rFonts w:cs="Arial"/>
          <w:color w:val="000000"/>
        </w:rPr>
        <w:t xml:space="preserve">ervices Users experience one or more of the Catch22 3P’s (good </w:t>
      </w:r>
      <w:r w:rsidRPr="006F468C">
        <w:rPr>
          <w:rFonts w:cs="Arial"/>
          <w:color w:val="000000"/>
        </w:rPr>
        <w:t>people, Purpose and place) IMPACT</w:t>
      </w:r>
    </w:p>
    <w:p w14:paraId="7602E441" w14:textId="77777777" w:rsidR="004D1D0A" w:rsidRPr="006F468C" w:rsidRDefault="004D1D0A" w:rsidP="004D1D0A">
      <w:pPr>
        <w:widowControl w:val="0"/>
        <w:spacing w:after="0"/>
        <w:ind w:left="720"/>
        <w:rPr>
          <w:rFonts w:cs="Arial"/>
          <w:color w:val="000000"/>
        </w:rPr>
      </w:pPr>
    </w:p>
    <w:p w14:paraId="67FB914A" w14:textId="77777777" w:rsidR="00C81C4A" w:rsidRPr="006F468C" w:rsidRDefault="00957892" w:rsidP="00891448">
      <w:pPr>
        <w:widowControl w:val="0"/>
        <w:numPr>
          <w:ilvl w:val="0"/>
          <w:numId w:val="45"/>
        </w:numPr>
        <w:spacing w:after="0"/>
        <w:rPr>
          <w:rFonts w:cs="Arial"/>
        </w:rPr>
      </w:pPr>
      <w:r w:rsidRPr="006F468C">
        <w:rPr>
          <w:rFonts w:cs="Arial"/>
        </w:rPr>
        <w:t xml:space="preserve">Service improvement / new </w:t>
      </w:r>
      <w:r w:rsidR="00C81C4A" w:rsidRPr="006F468C">
        <w:rPr>
          <w:rFonts w:cs="Arial"/>
        </w:rPr>
        <w:t xml:space="preserve">business opportunities </w:t>
      </w:r>
      <w:r w:rsidRPr="006F468C">
        <w:rPr>
          <w:rFonts w:cs="Arial"/>
        </w:rPr>
        <w:t>are identified</w:t>
      </w:r>
      <w:r w:rsidR="00C81C4A" w:rsidRPr="006F468C">
        <w:rPr>
          <w:rFonts w:cs="Arial"/>
        </w:rPr>
        <w:t xml:space="preserve"> with key stakeholders</w:t>
      </w:r>
    </w:p>
    <w:p w14:paraId="3901B181" w14:textId="77777777" w:rsidR="003D30FC" w:rsidRPr="006F468C" w:rsidRDefault="003D30FC" w:rsidP="00D65B7E">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B87C51" w:rsidRPr="006F468C" w14:paraId="4C2F2B43" w14:textId="77777777" w:rsidTr="008B13B1">
        <w:tc>
          <w:tcPr>
            <w:tcW w:w="9242" w:type="dxa"/>
            <w:tcBorders>
              <w:top w:val="single" w:sz="8" w:space="0" w:color="000000"/>
              <w:bottom w:val="single" w:sz="8" w:space="0" w:color="000000"/>
            </w:tcBorders>
            <w:shd w:val="clear" w:color="auto" w:fill="F2F2F2"/>
          </w:tcPr>
          <w:p w14:paraId="110371BD" w14:textId="77777777" w:rsidR="00B87C51" w:rsidRPr="006F468C" w:rsidRDefault="00B87C51" w:rsidP="008B13B1">
            <w:pPr>
              <w:pStyle w:val="Heading2"/>
              <w:spacing w:before="120"/>
              <w:rPr>
                <w:rFonts w:cs="Arial"/>
                <w:sz w:val="22"/>
                <w:szCs w:val="22"/>
              </w:rPr>
            </w:pPr>
            <w:r w:rsidRPr="006F468C">
              <w:rPr>
                <w:rFonts w:cs="Arial"/>
                <w:sz w:val="22"/>
                <w:szCs w:val="22"/>
              </w:rPr>
              <w:t>Organisational Relationships</w:t>
            </w:r>
          </w:p>
        </w:tc>
      </w:tr>
    </w:tbl>
    <w:p w14:paraId="489B8DBE" w14:textId="77777777" w:rsidR="003B2762" w:rsidRPr="006F468C" w:rsidRDefault="00D9609F" w:rsidP="003B2762">
      <w:pPr>
        <w:pStyle w:val="Default"/>
        <w:rPr>
          <w:sz w:val="22"/>
          <w:szCs w:val="22"/>
        </w:rPr>
      </w:pPr>
      <w:r w:rsidRPr="006F468C">
        <w:rPr>
          <w:sz w:val="22"/>
          <w:szCs w:val="22"/>
        </w:rPr>
        <w:t xml:space="preserve"> </w:t>
      </w:r>
      <w:r w:rsidR="003B2762" w:rsidRPr="006F468C">
        <w:rPr>
          <w:sz w:val="22"/>
          <w:szCs w:val="22"/>
        </w:rPr>
        <w:t>Reports to</w:t>
      </w:r>
      <w:r w:rsidR="00566A5E">
        <w:rPr>
          <w:sz w:val="22"/>
          <w:szCs w:val="22"/>
        </w:rPr>
        <w:t xml:space="preserve"> </w:t>
      </w:r>
      <w:r w:rsidR="00C32FBB">
        <w:rPr>
          <w:sz w:val="22"/>
          <w:szCs w:val="22"/>
        </w:rPr>
        <w:t xml:space="preserve">Catch22 </w:t>
      </w:r>
      <w:r w:rsidR="00566A5E">
        <w:rPr>
          <w:sz w:val="22"/>
          <w:szCs w:val="22"/>
        </w:rPr>
        <w:t>Senior Practitioner/</w:t>
      </w:r>
      <w:r w:rsidR="00C32FBB">
        <w:rPr>
          <w:sz w:val="22"/>
          <w:szCs w:val="22"/>
        </w:rPr>
        <w:t>Willow Team Assistant Team Manager</w:t>
      </w:r>
    </w:p>
    <w:p w14:paraId="12999B27" w14:textId="77777777" w:rsidR="003B2762" w:rsidRPr="006F468C" w:rsidRDefault="003B2762" w:rsidP="003B2762">
      <w:pPr>
        <w:pStyle w:val="Default"/>
        <w:rPr>
          <w:sz w:val="22"/>
          <w:szCs w:val="22"/>
        </w:rPr>
      </w:pPr>
    </w:p>
    <w:p w14:paraId="29E1D494" w14:textId="77777777" w:rsidR="00642F7A" w:rsidRPr="006F468C" w:rsidRDefault="003B2762" w:rsidP="002D3876">
      <w:pPr>
        <w:pStyle w:val="Default"/>
        <w:rPr>
          <w:sz w:val="22"/>
          <w:szCs w:val="22"/>
        </w:rPr>
        <w:sectPr w:rsidR="00642F7A" w:rsidRPr="006F468C" w:rsidSect="0072497C">
          <w:headerReference w:type="even" r:id="rId12"/>
          <w:headerReference w:type="default" r:id="rId13"/>
          <w:footerReference w:type="even" r:id="rId14"/>
          <w:footerReference w:type="default" r:id="rId15"/>
          <w:headerReference w:type="first" r:id="rId16"/>
          <w:footerReference w:type="first" r:id="rId17"/>
          <w:pgSz w:w="11906" w:h="16838" w:code="9"/>
          <w:pgMar w:top="1702" w:right="1440" w:bottom="1440" w:left="1440" w:header="1191" w:footer="454" w:gutter="0"/>
          <w:pgNumType w:start="1"/>
          <w:cols w:space="708"/>
          <w:docGrid w:linePitch="360"/>
        </w:sectPr>
      </w:pPr>
      <w:r w:rsidRPr="006F468C">
        <w:rPr>
          <w:sz w:val="22"/>
          <w:szCs w:val="22"/>
        </w:rPr>
        <w:t>Liaises closely with key stakehol</w:t>
      </w:r>
      <w:r w:rsidR="0006024F">
        <w:rPr>
          <w:sz w:val="22"/>
          <w:szCs w:val="22"/>
        </w:rPr>
        <w:t>ders such as</w:t>
      </w:r>
      <w:r w:rsidR="00566A5E">
        <w:rPr>
          <w:sz w:val="22"/>
          <w:szCs w:val="22"/>
        </w:rPr>
        <w:t xml:space="preserve"> YOT, CAMHS, Police, Mental health services, Inclusion, Parent Support link, Children’s services</w:t>
      </w:r>
    </w:p>
    <w:tbl>
      <w:tblPr>
        <w:tblW w:w="0" w:type="auto"/>
        <w:tblBorders>
          <w:top w:val="single" w:sz="8" w:space="0" w:color="000000"/>
          <w:bottom w:val="single" w:sz="8" w:space="0" w:color="000000"/>
        </w:tblBorders>
        <w:tblLook w:val="04A0" w:firstRow="1" w:lastRow="0" w:firstColumn="1" w:lastColumn="0" w:noHBand="0" w:noVBand="1"/>
      </w:tblPr>
      <w:tblGrid>
        <w:gridCol w:w="2086"/>
        <w:gridCol w:w="7361"/>
        <w:gridCol w:w="2715"/>
        <w:gridCol w:w="1751"/>
      </w:tblGrid>
      <w:tr w:rsidR="00642F7A" w:rsidRPr="006F468C" w14:paraId="6C688847" w14:textId="77777777" w:rsidTr="00642F7A">
        <w:tc>
          <w:tcPr>
            <w:tcW w:w="13913" w:type="dxa"/>
            <w:gridSpan w:val="4"/>
            <w:tcBorders>
              <w:top w:val="single" w:sz="8" w:space="0" w:color="000000"/>
              <w:bottom w:val="single" w:sz="8" w:space="0" w:color="000000"/>
            </w:tcBorders>
            <w:shd w:val="clear" w:color="auto" w:fill="D9D9D9"/>
          </w:tcPr>
          <w:p w14:paraId="57A4E816" w14:textId="77777777" w:rsidR="00642F7A" w:rsidRPr="006F468C" w:rsidRDefault="00566A5E" w:rsidP="0036285A">
            <w:pPr>
              <w:pStyle w:val="Heading2"/>
              <w:rPr>
                <w:rFonts w:cs="Arial"/>
                <w:sz w:val="22"/>
                <w:szCs w:val="22"/>
              </w:rPr>
            </w:pPr>
            <w:r>
              <w:rPr>
                <w:rFonts w:cs="Arial"/>
                <w:sz w:val="22"/>
                <w:szCs w:val="22"/>
              </w:rPr>
              <w:lastRenderedPageBreak/>
              <w:t>Hampshire 247</w:t>
            </w:r>
            <w:r w:rsidR="0006024F">
              <w:rPr>
                <w:rFonts w:cs="Arial"/>
                <w:sz w:val="22"/>
                <w:szCs w:val="22"/>
              </w:rPr>
              <w:t xml:space="preserve"> </w:t>
            </w:r>
            <w:r w:rsidR="009D59B3" w:rsidRPr="006F468C">
              <w:rPr>
                <w:rFonts w:cs="Arial"/>
                <w:sz w:val="22"/>
                <w:szCs w:val="22"/>
              </w:rPr>
              <w:t>:</w:t>
            </w:r>
            <w:r w:rsidR="00642F7A" w:rsidRPr="006F468C">
              <w:rPr>
                <w:rFonts w:cs="Arial"/>
                <w:sz w:val="22"/>
                <w:szCs w:val="22"/>
              </w:rPr>
              <w:t xml:space="preserve"> Person Specification</w:t>
            </w:r>
          </w:p>
        </w:tc>
      </w:tr>
      <w:tr w:rsidR="00642F7A" w:rsidRPr="006F468C" w14:paraId="007E6D97" w14:textId="77777777" w:rsidTr="00566A5E">
        <w:tc>
          <w:tcPr>
            <w:tcW w:w="2086" w:type="dxa"/>
            <w:tcBorders>
              <w:bottom w:val="single" w:sz="4" w:space="0" w:color="BFBFBF"/>
              <w:right w:val="single" w:sz="4" w:space="0" w:color="BFBFBF"/>
            </w:tcBorders>
            <w:shd w:val="clear" w:color="auto" w:fill="F2F2F2"/>
          </w:tcPr>
          <w:p w14:paraId="01410867" w14:textId="77777777" w:rsidR="00642F7A" w:rsidRPr="006F468C" w:rsidRDefault="00642F7A" w:rsidP="00642F7A">
            <w:pPr>
              <w:pStyle w:val="Quote"/>
              <w:spacing w:before="120" w:after="120"/>
              <w:rPr>
                <w:rFonts w:cs="Arial"/>
                <w:b/>
              </w:rPr>
            </w:pPr>
            <w:r w:rsidRPr="006F468C">
              <w:rPr>
                <w:rFonts w:cs="Arial"/>
                <w:b/>
              </w:rPr>
              <w:t>COMPETENCY</w:t>
            </w:r>
          </w:p>
        </w:tc>
        <w:tc>
          <w:tcPr>
            <w:tcW w:w="7361" w:type="dxa"/>
            <w:tcBorders>
              <w:left w:val="single" w:sz="4" w:space="0" w:color="BFBFBF"/>
              <w:bottom w:val="single" w:sz="4" w:space="0" w:color="BFBFBF"/>
              <w:right w:val="single" w:sz="4" w:space="0" w:color="BFBFBF"/>
            </w:tcBorders>
            <w:shd w:val="clear" w:color="auto" w:fill="F2F2F2"/>
          </w:tcPr>
          <w:p w14:paraId="36EC0D98" w14:textId="77777777" w:rsidR="00642F7A" w:rsidRPr="006F468C" w:rsidRDefault="00642F7A" w:rsidP="00642F7A">
            <w:pPr>
              <w:pStyle w:val="Quote"/>
              <w:spacing w:before="120" w:after="120"/>
              <w:rPr>
                <w:rFonts w:cs="Arial"/>
                <w:b/>
              </w:rPr>
            </w:pPr>
            <w:r w:rsidRPr="006F468C">
              <w:rPr>
                <w:rFonts w:cs="Arial"/>
                <w:b/>
              </w:rPr>
              <w:t>ESSENTIAL</w:t>
            </w:r>
          </w:p>
        </w:tc>
        <w:tc>
          <w:tcPr>
            <w:tcW w:w="2715" w:type="dxa"/>
            <w:tcBorders>
              <w:left w:val="single" w:sz="4" w:space="0" w:color="BFBFBF"/>
              <w:bottom w:val="single" w:sz="4" w:space="0" w:color="BFBFBF"/>
              <w:right w:val="nil"/>
            </w:tcBorders>
            <w:shd w:val="clear" w:color="auto" w:fill="F2F2F2"/>
          </w:tcPr>
          <w:p w14:paraId="18D24036" w14:textId="77777777" w:rsidR="00642F7A" w:rsidRPr="006F468C" w:rsidRDefault="00642F7A" w:rsidP="00642F7A">
            <w:pPr>
              <w:pStyle w:val="Quote"/>
              <w:spacing w:before="120" w:after="120"/>
              <w:rPr>
                <w:rFonts w:cs="Arial"/>
                <w:b/>
              </w:rPr>
            </w:pPr>
            <w:r w:rsidRPr="006F468C">
              <w:rPr>
                <w:rFonts w:cs="Arial"/>
                <w:b/>
              </w:rPr>
              <w:t>DESIRABLE</w:t>
            </w:r>
          </w:p>
        </w:tc>
        <w:tc>
          <w:tcPr>
            <w:tcW w:w="1751" w:type="dxa"/>
            <w:tcBorders>
              <w:left w:val="single" w:sz="4" w:space="0" w:color="BFBFBF"/>
              <w:bottom w:val="single" w:sz="4" w:space="0" w:color="BFBFBF"/>
              <w:right w:val="nil"/>
            </w:tcBorders>
            <w:shd w:val="clear" w:color="auto" w:fill="F2F2F2"/>
          </w:tcPr>
          <w:p w14:paraId="54F61B34" w14:textId="77777777" w:rsidR="00642F7A" w:rsidRPr="006F468C" w:rsidRDefault="00642F7A" w:rsidP="00642F7A">
            <w:pPr>
              <w:pStyle w:val="Quote"/>
              <w:spacing w:before="120" w:after="120"/>
              <w:rPr>
                <w:rFonts w:cs="Arial"/>
                <w:b/>
              </w:rPr>
            </w:pPr>
            <w:r w:rsidRPr="006F468C">
              <w:rPr>
                <w:rFonts w:cs="Arial"/>
                <w:b/>
              </w:rPr>
              <w:t>ASSESSMENT</w:t>
            </w:r>
          </w:p>
        </w:tc>
      </w:tr>
      <w:tr w:rsidR="00566A5E" w:rsidRPr="006F468C" w14:paraId="7A566036" w14:textId="77777777" w:rsidTr="00566A5E">
        <w:trPr>
          <w:trHeight w:val="561"/>
        </w:trPr>
        <w:tc>
          <w:tcPr>
            <w:tcW w:w="2086" w:type="dxa"/>
            <w:tcBorders>
              <w:top w:val="single" w:sz="4" w:space="0" w:color="BFBFBF"/>
              <w:bottom w:val="single" w:sz="4" w:space="0" w:color="BFBFBF"/>
              <w:right w:val="single" w:sz="4" w:space="0" w:color="BFBFBF"/>
            </w:tcBorders>
            <w:shd w:val="clear" w:color="auto" w:fill="FFFFFF"/>
          </w:tcPr>
          <w:p w14:paraId="0D3EE937" w14:textId="77777777" w:rsidR="00566A5E" w:rsidRPr="006F468C" w:rsidRDefault="00566A5E" w:rsidP="00566A5E">
            <w:pPr>
              <w:pStyle w:val="Quote"/>
              <w:spacing w:before="120"/>
              <w:rPr>
                <w:rFonts w:cs="Arial"/>
                <w:b/>
              </w:rPr>
            </w:pPr>
            <w:r w:rsidRPr="006F468C">
              <w:rPr>
                <w:rFonts w:cs="Arial"/>
                <w:b/>
              </w:rPr>
              <w:t>QUALIFICATIONS</w:t>
            </w:r>
          </w:p>
        </w:tc>
        <w:tc>
          <w:tcPr>
            <w:tcW w:w="7361" w:type="dxa"/>
            <w:tcBorders>
              <w:bottom w:val="single" w:sz="4" w:space="0" w:color="auto"/>
            </w:tcBorders>
          </w:tcPr>
          <w:p w14:paraId="41858EAA"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Minimum of 2 years’ experience of working with young people in a treatment and/ or prescribing setting for substance use/ misuse</w:t>
            </w:r>
          </w:p>
          <w:p w14:paraId="3BBEF121"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Experience of working with challenging and hard to engage young people</w:t>
            </w:r>
          </w:p>
          <w:p w14:paraId="27354739" w14:textId="77777777" w:rsidR="00566A5E" w:rsidRDefault="00566A5E" w:rsidP="00566A5E">
            <w:pPr>
              <w:pStyle w:val="Header"/>
              <w:numPr>
                <w:ilvl w:val="0"/>
                <w:numId w:val="48"/>
              </w:numPr>
              <w:tabs>
                <w:tab w:val="clear" w:pos="4513"/>
                <w:tab w:val="clear" w:pos="9026"/>
              </w:tabs>
              <w:rPr>
                <w:rFonts w:cs="Arial"/>
              </w:rPr>
            </w:pPr>
            <w:r w:rsidRPr="002903B8">
              <w:rPr>
                <w:rFonts w:cs="Arial"/>
              </w:rPr>
              <w:t>Working with young people in group and one-to-one settings.</w:t>
            </w:r>
          </w:p>
          <w:p w14:paraId="41FA0D14" w14:textId="77777777" w:rsidR="00566A5E" w:rsidRPr="006F468C" w:rsidRDefault="00566A5E" w:rsidP="00566A5E">
            <w:pPr>
              <w:spacing w:after="0" w:line="240" w:lineRule="auto"/>
              <w:rPr>
                <w:rFonts w:cs="Arial"/>
              </w:rPr>
            </w:pPr>
          </w:p>
        </w:tc>
        <w:tc>
          <w:tcPr>
            <w:tcW w:w="2715" w:type="dxa"/>
            <w:tcBorders>
              <w:top w:val="single" w:sz="4" w:space="0" w:color="BFBFBF"/>
              <w:left w:val="single" w:sz="4" w:space="0" w:color="BFBFBF"/>
              <w:bottom w:val="single" w:sz="4" w:space="0" w:color="BFBFBF"/>
            </w:tcBorders>
            <w:shd w:val="clear" w:color="auto" w:fill="FFFFFF"/>
          </w:tcPr>
          <w:p w14:paraId="30D49B06" w14:textId="77777777" w:rsidR="00566A5E"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Relevant professional qualification in substance misuse</w:t>
            </w:r>
          </w:p>
          <w:p w14:paraId="674BF817"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Pr>
                <w:rFonts w:cs="Arial"/>
              </w:rPr>
              <w:t xml:space="preserve">Level 3 NVQ Health &amp; Social Care </w:t>
            </w:r>
          </w:p>
          <w:p w14:paraId="68796C0F"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Relevant quali</w:t>
            </w:r>
            <w:r>
              <w:rPr>
                <w:rFonts w:cs="Arial"/>
              </w:rPr>
              <w:t>fication in youth work studies</w:t>
            </w:r>
          </w:p>
          <w:p w14:paraId="15337642"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Pr>
                <w:rFonts w:cs="Arial"/>
              </w:rPr>
              <w:t>Skills in Inter-agency working</w:t>
            </w:r>
          </w:p>
          <w:p w14:paraId="724C90A6"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Training/group work – information education delivery.</w:t>
            </w:r>
          </w:p>
          <w:p w14:paraId="7E5625DD"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 xml:space="preserve">Specialist Alcohol Knowledge </w:t>
            </w:r>
          </w:p>
          <w:p w14:paraId="49F78F56"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Specialist knowledge in CBT, MI, REBT or other relevant intervention skills</w:t>
            </w:r>
          </w:p>
          <w:p w14:paraId="3942C06B"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Counselling qualification and/ or skills</w:t>
            </w:r>
          </w:p>
          <w:p w14:paraId="50DC8B1B" w14:textId="77777777" w:rsidR="00566A5E" w:rsidRDefault="00566A5E" w:rsidP="00566A5E">
            <w:pPr>
              <w:pStyle w:val="Header"/>
              <w:numPr>
                <w:ilvl w:val="0"/>
                <w:numId w:val="48"/>
              </w:numPr>
              <w:tabs>
                <w:tab w:val="clear" w:pos="4513"/>
                <w:tab w:val="clear" w:pos="9026"/>
              </w:tabs>
              <w:rPr>
                <w:rFonts w:cs="Arial"/>
              </w:rPr>
            </w:pPr>
            <w:r w:rsidRPr="002903B8">
              <w:rPr>
                <w:rFonts w:cs="Arial"/>
              </w:rPr>
              <w:lastRenderedPageBreak/>
              <w:t>Work within youth Justice Setting</w:t>
            </w:r>
            <w:r>
              <w:rPr>
                <w:rFonts w:cs="Arial"/>
              </w:rPr>
              <w:t>.</w:t>
            </w:r>
          </w:p>
        </w:tc>
        <w:tc>
          <w:tcPr>
            <w:tcW w:w="1751" w:type="dxa"/>
            <w:tcBorders>
              <w:top w:val="single" w:sz="4" w:space="0" w:color="BFBFBF"/>
              <w:left w:val="single" w:sz="4" w:space="0" w:color="BFBFBF"/>
              <w:bottom w:val="single" w:sz="4" w:space="0" w:color="BFBFBF"/>
            </w:tcBorders>
            <w:shd w:val="clear" w:color="auto" w:fill="FFFFFF"/>
          </w:tcPr>
          <w:p w14:paraId="37D17A87" w14:textId="77777777" w:rsidR="00566A5E" w:rsidRPr="006F468C" w:rsidRDefault="00566A5E" w:rsidP="00566A5E">
            <w:pPr>
              <w:pStyle w:val="Quote"/>
              <w:spacing w:before="120"/>
              <w:rPr>
                <w:rFonts w:cs="Arial"/>
              </w:rPr>
            </w:pPr>
            <w:r>
              <w:rPr>
                <w:rFonts w:cs="Arial"/>
              </w:rPr>
              <w:lastRenderedPageBreak/>
              <w:t xml:space="preserve">Application Form and </w:t>
            </w:r>
            <w:r w:rsidRPr="00EB0759">
              <w:rPr>
                <w:rFonts w:cs="Arial"/>
              </w:rPr>
              <w:t>Interview</w:t>
            </w:r>
          </w:p>
        </w:tc>
      </w:tr>
      <w:tr w:rsidR="00566A5E" w:rsidRPr="006F468C" w14:paraId="47D1D513" w14:textId="77777777" w:rsidTr="00566A5E">
        <w:tc>
          <w:tcPr>
            <w:tcW w:w="2086" w:type="dxa"/>
            <w:tcBorders>
              <w:top w:val="single" w:sz="4" w:space="0" w:color="BFBFBF"/>
              <w:bottom w:val="single" w:sz="4" w:space="0" w:color="BFBFBF"/>
              <w:right w:val="single" w:sz="4" w:space="0" w:color="BFBFBF"/>
            </w:tcBorders>
            <w:shd w:val="clear" w:color="auto" w:fill="FFFFFF"/>
          </w:tcPr>
          <w:p w14:paraId="5EB5E948" w14:textId="77777777" w:rsidR="00566A5E" w:rsidRPr="006F468C" w:rsidRDefault="00566A5E" w:rsidP="00566A5E">
            <w:pPr>
              <w:pStyle w:val="Quote"/>
              <w:spacing w:before="120"/>
              <w:rPr>
                <w:rFonts w:cs="Arial"/>
                <w:b/>
              </w:rPr>
            </w:pPr>
            <w:r w:rsidRPr="006F468C">
              <w:rPr>
                <w:rFonts w:cs="Arial"/>
                <w:b/>
              </w:rPr>
              <w:t>KNOWLEDGE/ EXPERIENCE</w:t>
            </w:r>
          </w:p>
        </w:tc>
        <w:tc>
          <w:tcPr>
            <w:tcW w:w="7361" w:type="dxa"/>
            <w:tcBorders>
              <w:top w:val="single" w:sz="4" w:space="0" w:color="auto"/>
              <w:bottom w:val="nil"/>
            </w:tcBorders>
          </w:tcPr>
          <w:p w14:paraId="03C35E21"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Excellent working knowledge of alcohol, drugs and their effects</w:t>
            </w:r>
          </w:p>
          <w:p w14:paraId="78FECBD6"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Knowledge of issues around substan</w:t>
            </w:r>
            <w:r>
              <w:rPr>
                <w:rFonts w:cs="Arial"/>
              </w:rPr>
              <w:t>ce misuse amongst young people</w:t>
            </w:r>
          </w:p>
          <w:p w14:paraId="61DEC541"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An awareness of the current issues relating to at ri</w:t>
            </w:r>
            <w:r>
              <w:rPr>
                <w:rFonts w:cs="Arial"/>
              </w:rPr>
              <w:t>sk and vulnerable young people</w:t>
            </w:r>
          </w:p>
          <w:p w14:paraId="3A4239D6"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 xml:space="preserve">Knowledge of engagement and intervention strategies. </w:t>
            </w:r>
          </w:p>
          <w:p w14:paraId="19B19DD0" w14:textId="77777777" w:rsidR="00566A5E" w:rsidRDefault="00566A5E" w:rsidP="00566A5E">
            <w:pPr>
              <w:pStyle w:val="Header"/>
              <w:numPr>
                <w:ilvl w:val="0"/>
                <w:numId w:val="48"/>
              </w:numPr>
              <w:tabs>
                <w:tab w:val="clear" w:pos="4513"/>
                <w:tab w:val="clear" w:pos="9026"/>
              </w:tabs>
              <w:rPr>
                <w:rFonts w:cs="Arial"/>
              </w:rPr>
            </w:pPr>
            <w:r w:rsidRPr="002903B8">
              <w:rPr>
                <w:rFonts w:cs="Arial"/>
              </w:rPr>
              <w:t>Knowledge of Every Child Matters and other appropriate youth policies.</w:t>
            </w:r>
          </w:p>
        </w:tc>
        <w:tc>
          <w:tcPr>
            <w:tcW w:w="2715" w:type="dxa"/>
            <w:tcBorders>
              <w:top w:val="single" w:sz="4" w:space="0" w:color="BFBFBF"/>
              <w:left w:val="single" w:sz="4" w:space="0" w:color="BFBFBF"/>
              <w:bottom w:val="single" w:sz="4" w:space="0" w:color="BFBFBF"/>
            </w:tcBorders>
            <w:shd w:val="clear" w:color="auto" w:fill="FFFFFF"/>
          </w:tcPr>
          <w:p w14:paraId="4DFFEA96"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Social and policy issues affecting young people (e.g. youth justice etc.)</w:t>
            </w:r>
          </w:p>
          <w:p w14:paraId="6DD754E8"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Pr>
                <w:rFonts w:cs="Arial"/>
              </w:rPr>
              <w:t>Work with disaffected teenagers</w:t>
            </w:r>
            <w:r w:rsidRPr="002903B8">
              <w:rPr>
                <w:rFonts w:cs="Arial"/>
              </w:rPr>
              <w:t xml:space="preserve"> </w:t>
            </w:r>
          </w:p>
          <w:p w14:paraId="78E12F01"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Knowledge of support and refe</w:t>
            </w:r>
            <w:r>
              <w:rPr>
                <w:rFonts w:cs="Arial"/>
              </w:rPr>
              <w:t>rral agencies within Hampshire</w:t>
            </w:r>
          </w:p>
          <w:p w14:paraId="71D53AC3" w14:textId="77777777" w:rsidR="00566A5E" w:rsidRDefault="00566A5E" w:rsidP="00566A5E">
            <w:pPr>
              <w:pStyle w:val="Header"/>
              <w:numPr>
                <w:ilvl w:val="0"/>
                <w:numId w:val="48"/>
              </w:numPr>
              <w:tabs>
                <w:tab w:val="clear" w:pos="4513"/>
                <w:tab w:val="clear" w:pos="9026"/>
              </w:tabs>
              <w:rPr>
                <w:rFonts w:cs="Arial"/>
              </w:rPr>
            </w:pPr>
            <w:r w:rsidRPr="002903B8">
              <w:rPr>
                <w:rFonts w:cs="Arial"/>
              </w:rPr>
              <w:t>Knowledge of treatment methodology and relevant policies</w:t>
            </w:r>
            <w:r>
              <w:rPr>
                <w:rFonts w:cs="Arial"/>
              </w:rPr>
              <w:t>.</w:t>
            </w:r>
          </w:p>
          <w:p w14:paraId="1C3C3F5B" w14:textId="77777777" w:rsidR="00566A5E" w:rsidRPr="006F468C" w:rsidRDefault="00566A5E" w:rsidP="00566A5E">
            <w:pPr>
              <w:rPr>
                <w:rFonts w:cs="Arial"/>
              </w:rPr>
            </w:pPr>
          </w:p>
        </w:tc>
        <w:tc>
          <w:tcPr>
            <w:tcW w:w="1751" w:type="dxa"/>
            <w:tcBorders>
              <w:top w:val="single" w:sz="4" w:space="0" w:color="BFBFBF"/>
              <w:left w:val="single" w:sz="4" w:space="0" w:color="BFBFBF"/>
              <w:bottom w:val="single" w:sz="4" w:space="0" w:color="BFBFBF"/>
            </w:tcBorders>
            <w:shd w:val="clear" w:color="auto" w:fill="FFFFFF"/>
          </w:tcPr>
          <w:p w14:paraId="4E574AEB" w14:textId="77777777" w:rsidR="00566A5E" w:rsidRPr="00EB0759" w:rsidRDefault="00566A5E" w:rsidP="00566A5E">
            <w:pPr>
              <w:rPr>
                <w:rFonts w:cs="Arial"/>
              </w:rPr>
            </w:pPr>
            <w:r>
              <w:rPr>
                <w:rFonts w:cs="Arial"/>
              </w:rPr>
              <w:t xml:space="preserve">Application Form, Interview and </w:t>
            </w:r>
            <w:r w:rsidRPr="00EB0759">
              <w:rPr>
                <w:rFonts w:cs="Arial"/>
              </w:rPr>
              <w:t>Practical Exercises</w:t>
            </w:r>
          </w:p>
          <w:p w14:paraId="05E1F071" w14:textId="77777777" w:rsidR="00566A5E" w:rsidRPr="006F468C" w:rsidRDefault="00566A5E" w:rsidP="00566A5E">
            <w:pPr>
              <w:rPr>
                <w:rFonts w:cs="Arial"/>
              </w:rPr>
            </w:pPr>
          </w:p>
        </w:tc>
      </w:tr>
      <w:tr w:rsidR="00566A5E" w:rsidRPr="006F468C" w14:paraId="080E70C2" w14:textId="77777777" w:rsidTr="00566A5E">
        <w:tc>
          <w:tcPr>
            <w:tcW w:w="2086" w:type="dxa"/>
            <w:tcBorders>
              <w:top w:val="single" w:sz="4" w:space="0" w:color="BFBFBF"/>
              <w:bottom w:val="single" w:sz="4" w:space="0" w:color="BFBFBF"/>
              <w:right w:val="single" w:sz="4" w:space="0" w:color="BFBFBF"/>
            </w:tcBorders>
            <w:shd w:val="clear" w:color="auto" w:fill="FFFFFF"/>
          </w:tcPr>
          <w:p w14:paraId="57E81251" w14:textId="77777777" w:rsidR="00566A5E" w:rsidRPr="006F468C" w:rsidRDefault="00566A5E" w:rsidP="00566A5E">
            <w:pPr>
              <w:pStyle w:val="Quote"/>
              <w:spacing w:before="120"/>
              <w:rPr>
                <w:rFonts w:cs="Arial"/>
                <w:b/>
              </w:rPr>
            </w:pPr>
            <w:r w:rsidRPr="006F468C">
              <w:rPr>
                <w:rFonts w:cs="Arial"/>
                <w:b/>
              </w:rPr>
              <w:t>SKILLS &amp; ABILITIES</w:t>
            </w:r>
          </w:p>
        </w:tc>
        <w:tc>
          <w:tcPr>
            <w:tcW w:w="7361" w:type="dxa"/>
            <w:tcBorders>
              <w:top w:val="nil"/>
              <w:bottom w:val="nil"/>
            </w:tcBorders>
          </w:tcPr>
          <w:p w14:paraId="7D139426"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Excellent engagement skills, able to  mot</w:t>
            </w:r>
            <w:r>
              <w:rPr>
                <w:rFonts w:cs="Arial"/>
              </w:rPr>
              <w:t>ivate and enthuse young people</w:t>
            </w:r>
          </w:p>
          <w:p w14:paraId="73277721"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Communicate well in a range of s</w:t>
            </w:r>
            <w:r>
              <w:rPr>
                <w:rFonts w:cs="Arial"/>
              </w:rPr>
              <w:t>ettings, with different people</w:t>
            </w:r>
          </w:p>
          <w:p w14:paraId="4C121A9C"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Good organisation</w:t>
            </w:r>
            <w:r>
              <w:rPr>
                <w:rFonts w:cs="Arial"/>
              </w:rPr>
              <w:t>al skills (for self and others)</w:t>
            </w:r>
            <w:r w:rsidRPr="002903B8">
              <w:rPr>
                <w:rFonts w:cs="Arial"/>
              </w:rPr>
              <w:t xml:space="preserve"> </w:t>
            </w:r>
          </w:p>
          <w:p w14:paraId="6D93A29E"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To be able to use a range of intervention and engagement styles as appropriate</w:t>
            </w:r>
          </w:p>
          <w:p w14:paraId="53D28055"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Pr>
                <w:rFonts w:cs="Arial"/>
              </w:rPr>
              <w:t>Work effectively in a team</w:t>
            </w:r>
          </w:p>
          <w:p w14:paraId="4D921D50"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Pr>
                <w:rFonts w:cs="Arial"/>
              </w:rPr>
              <w:t>Manage conflicting demands</w:t>
            </w:r>
          </w:p>
          <w:p w14:paraId="797B5722"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To be able to adopt a flexible a</w:t>
            </w:r>
            <w:r>
              <w:rPr>
                <w:rFonts w:cs="Arial"/>
              </w:rPr>
              <w:t>pproach to all aspects of work</w:t>
            </w:r>
          </w:p>
          <w:p w14:paraId="0BCAA1B9"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sidRPr="002903B8">
              <w:rPr>
                <w:rFonts w:cs="Arial"/>
              </w:rPr>
              <w:t xml:space="preserve">Problem </w:t>
            </w:r>
            <w:r>
              <w:rPr>
                <w:rFonts w:cs="Arial"/>
              </w:rPr>
              <w:t>solving and a “can do” attitude</w:t>
            </w:r>
          </w:p>
          <w:p w14:paraId="77AAFF1C" w14:textId="77777777" w:rsidR="00566A5E" w:rsidRPr="002903B8" w:rsidRDefault="00566A5E" w:rsidP="00566A5E">
            <w:pPr>
              <w:pStyle w:val="Header"/>
              <w:numPr>
                <w:ilvl w:val="0"/>
                <w:numId w:val="48"/>
              </w:numPr>
              <w:tabs>
                <w:tab w:val="clear" w:pos="4513"/>
                <w:tab w:val="clear" w:pos="9026"/>
                <w:tab w:val="center" w:pos="4320"/>
                <w:tab w:val="right" w:pos="8640"/>
              </w:tabs>
              <w:rPr>
                <w:rFonts w:cs="Arial"/>
              </w:rPr>
            </w:pPr>
            <w:r>
              <w:rPr>
                <w:rFonts w:cs="Arial"/>
              </w:rPr>
              <w:t>Good ICT skills</w:t>
            </w:r>
          </w:p>
          <w:p w14:paraId="7609CB42" w14:textId="77777777" w:rsidR="00566A5E" w:rsidRDefault="00566A5E" w:rsidP="00566A5E">
            <w:pPr>
              <w:pStyle w:val="Header"/>
              <w:numPr>
                <w:ilvl w:val="0"/>
                <w:numId w:val="48"/>
              </w:numPr>
              <w:tabs>
                <w:tab w:val="clear" w:pos="4513"/>
                <w:tab w:val="clear" w:pos="9026"/>
              </w:tabs>
              <w:rPr>
                <w:rFonts w:cs="Arial"/>
              </w:rPr>
            </w:pPr>
            <w:r w:rsidRPr="002903B8">
              <w:rPr>
                <w:rFonts w:cs="Arial"/>
              </w:rPr>
              <w:t>High attention to detail</w:t>
            </w:r>
            <w:r>
              <w:rPr>
                <w:rFonts w:cs="Arial"/>
              </w:rPr>
              <w:t>.</w:t>
            </w:r>
          </w:p>
          <w:p w14:paraId="70C78701" w14:textId="77777777" w:rsidR="00566A5E" w:rsidRDefault="00566A5E" w:rsidP="00566A5E">
            <w:pPr>
              <w:pStyle w:val="Header"/>
              <w:rPr>
                <w:rFonts w:cs="Arial"/>
              </w:rPr>
            </w:pPr>
          </w:p>
        </w:tc>
        <w:tc>
          <w:tcPr>
            <w:tcW w:w="2715" w:type="dxa"/>
            <w:tcBorders>
              <w:top w:val="single" w:sz="4" w:space="0" w:color="BFBFBF"/>
              <w:left w:val="single" w:sz="4" w:space="0" w:color="BFBFBF"/>
              <w:bottom w:val="single" w:sz="4" w:space="0" w:color="BFBFBF"/>
            </w:tcBorders>
            <w:shd w:val="clear" w:color="auto" w:fill="FFFFFF"/>
          </w:tcPr>
          <w:p w14:paraId="31931E16" w14:textId="77777777" w:rsidR="00566A5E" w:rsidRPr="006F468C" w:rsidRDefault="00566A5E" w:rsidP="00566A5E">
            <w:pPr>
              <w:rPr>
                <w:rFonts w:cs="Arial"/>
              </w:rPr>
            </w:pPr>
            <w:r w:rsidRPr="006F468C">
              <w:rPr>
                <w:rFonts w:cs="Arial"/>
              </w:rPr>
              <w:br/>
            </w:r>
          </w:p>
          <w:p w14:paraId="73F5FB0B" w14:textId="77777777" w:rsidR="00566A5E" w:rsidRPr="006F468C" w:rsidRDefault="00566A5E" w:rsidP="00566A5E">
            <w:pPr>
              <w:rPr>
                <w:rFonts w:cs="Arial"/>
              </w:rPr>
            </w:pPr>
          </w:p>
        </w:tc>
        <w:tc>
          <w:tcPr>
            <w:tcW w:w="1751" w:type="dxa"/>
            <w:tcBorders>
              <w:top w:val="single" w:sz="4" w:space="0" w:color="BFBFBF"/>
              <w:left w:val="single" w:sz="4" w:space="0" w:color="BFBFBF"/>
              <w:bottom w:val="single" w:sz="4" w:space="0" w:color="BFBFBF"/>
            </w:tcBorders>
            <w:shd w:val="clear" w:color="auto" w:fill="FFFFFF"/>
          </w:tcPr>
          <w:p w14:paraId="3EACD905" w14:textId="77777777" w:rsidR="00566A5E" w:rsidRPr="006F468C" w:rsidRDefault="00566A5E" w:rsidP="00566A5E">
            <w:pPr>
              <w:pStyle w:val="Quote"/>
              <w:spacing w:before="120"/>
              <w:rPr>
                <w:rFonts w:cs="Arial"/>
              </w:rPr>
            </w:pPr>
            <w:r>
              <w:rPr>
                <w:rFonts w:cs="Arial"/>
              </w:rPr>
              <w:t>Interview</w:t>
            </w:r>
          </w:p>
        </w:tc>
      </w:tr>
      <w:tr w:rsidR="00566A5E" w:rsidRPr="006F468C" w14:paraId="76685A35" w14:textId="77777777" w:rsidTr="00566A5E">
        <w:trPr>
          <w:trHeight w:val="70"/>
        </w:trPr>
        <w:tc>
          <w:tcPr>
            <w:tcW w:w="2086" w:type="dxa"/>
            <w:tcBorders>
              <w:top w:val="single" w:sz="4" w:space="0" w:color="BFBFBF"/>
              <w:bottom w:val="single" w:sz="4" w:space="0" w:color="BFBFBF"/>
              <w:right w:val="single" w:sz="4" w:space="0" w:color="BFBFBF"/>
            </w:tcBorders>
            <w:shd w:val="clear" w:color="auto" w:fill="FFFFFF"/>
          </w:tcPr>
          <w:p w14:paraId="2D087115" w14:textId="77777777" w:rsidR="00566A5E" w:rsidRPr="006F468C" w:rsidRDefault="00566A5E" w:rsidP="00566A5E">
            <w:pPr>
              <w:pStyle w:val="Quote"/>
              <w:spacing w:before="120"/>
              <w:rPr>
                <w:rFonts w:cs="Arial"/>
                <w:b/>
              </w:rPr>
            </w:pPr>
            <w:r w:rsidRPr="006F468C">
              <w:rPr>
                <w:rFonts w:cs="Arial"/>
                <w:b/>
              </w:rPr>
              <w:lastRenderedPageBreak/>
              <w:t>OTHER</w:t>
            </w:r>
          </w:p>
        </w:tc>
        <w:tc>
          <w:tcPr>
            <w:tcW w:w="7361" w:type="dxa"/>
            <w:tcBorders>
              <w:top w:val="nil"/>
              <w:bottom w:val="single" w:sz="4" w:space="0" w:color="auto"/>
            </w:tcBorders>
          </w:tcPr>
          <w:p w14:paraId="37E70BB8" w14:textId="77777777" w:rsidR="00566A5E" w:rsidRDefault="00566A5E" w:rsidP="00566A5E">
            <w:pPr>
              <w:pStyle w:val="Header"/>
              <w:numPr>
                <w:ilvl w:val="0"/>
                <w:numId w:val="48"/>
              </w:numPr>
              <w:tabs>
                <w:tab w:val="clear" w:pos="4513"/>
                <w:tab w:val="clear" w:pos="9026"/>
              </w:tabs>
              <w:rPr>
                <w:rFonts w:cs="Arial"/>
              </w:rPr>
            </w:pPr>
            <w:r>
              <w:rPr>
                <w:rFonts w:cs="Arial"/>
              </w:rPr>
              <w:t>An awareness and understanding of Equality &amp; Diversity issues.</w:t>
            </w:r>
          </w:p>
          <w:p w14:paraId="35B96A8F" w14:textId="77777777" w:rsidR="00566A5E" w:rsidRPr="00EB0759" w:rsidRDefault="00566A5E" w:rsidP="00566A5E">
            <w:pPr>
              <w:pStyle w:val="Header"/>
              <w:numPr>
                <w:ilvl w:val="0"/>
                <w:numId w:val="48"/>
              </w:numPr>
              <w:tabs>
                <w:tab w:val="clear" w:pos="4513"/>
                <w:tab w:val="clear" w:pos="9026"/>
                <w:tab w:val="center" w:pos="4320"/>
                <w:tab w:val="right" w:pos="8640"/>
              </w:tabs>
              <w:rPr>
                <w:rFonts w:cs="Arial"/>
              </w:rPr>
            </w:pPr>
            <w:r w:rsidRPr="00EB0759">
              <w:rPr>
                <w:rFonts w:cs="Arial"/>
              </w:rPr>
              <w:t>Awareness and understanding of Health &amp; Safety practice</w:t>
            </w:r>
          </w:p>
          <w:p w14:paraId="2539CC30" w14:textId="77777777" w:rsidR="00566A5E" w:rsidRPr="00EB0759" w:rsidRDefault="00566A5E" w:rsidP="00566A5E">
            <w:pPr>
              <w:pStyle w:val="Header"/>
              <w:numPr>
                <w:ilvl w:val="0"/>
                <w:numId w:val="48"/>
              </w:numPr>
              <w:tabs>
                <w:tab w:val="clear" w:pos="4513"/>
                <w:tab w:val="clear" w:pos="9026"/>
                <w:tab w:val="center" w:pos="4320"/>
                <w:tab w:val="right" w:pos="8640"/>
              </w:tabs>
              <w:rPr>
                <w:rFonts w:cs="Arial"/>
              </w:rPr>
            </w:pPr>
            <w:r w:rsidRPr="00EB0759">
              <w:rPr>
                <w:rFonts w:cs="Arial"/>
              </w:rPr>
              <w:t xml:space="preserve">Willing to </w:t>
            </w:r>
            <w:r>
              <w:rPr>
                <w:rFonts w:cs="Arial"/>
              </w:rPr>
              <w:t>undertake training, as required</w:t>
            </w:r>
          </w:p>
          <w:p w14:paraId="355B17EB" w14:textId="77777777" w:rsidR="00566A5E" w:rsidRDefault="00566A5E" w:rsidP="00566A5E">
            <w:pPr>
              <w:pStyle w:val="Header"/>
              <w:numPr>
                <w:ilvl w:val="0"/>
                <w:numId w:val="48"/>
              </w:numPr>
              <w:tabs>
                <w:tab w:val="clear" w:pos="4513"/>
                <w:tab w:val="clear" w:pos="9026"/>
              </w:tabs>
              <w:rPr>
                <w:rFonts w:cs="Arial"/>
              </w:rPr>
            </w:pPr>
            <w:r w:rsidRPr="00EB0759">
              <w:rPr>
                <w:rFonts w:cs="Arial"/>
              </w:rPr>
              <w:t>Current driving licence and use of car.</w:t>
            </w:r>
          </w:p>
          <w:p w14:paraId="02B15AFB" w14:textId="77777777" w:rsidR="00566A5E" w:rsidRDefault="00566A5E" w:rsidP="00566A5E">
            <w:pPr>
              <w:pStyle w:val="Header"/>
              <w:numPr>
                <w:ilvl w:val="0"/>
                <w:numId w:val="48"/>
              </w:numPr>
              <w:tabs>
                <w:tab w:val="clear" w:pos="4513"/>
                <w:tab w:val="clear" w:pos="9026"/>
              </w:tabs>
              <w:rPr>
                <w:rFonts w:cs="Arial"/>
              </w:rPr>
            </w:pPr>
          </w:p>
          <w:p w14:paraId="68FC0308" w14:textId="77777777" w:rsidR="00566A5E" w:rsidRDefault="00566A5E" w:rsidP="00566A5E">
            <w:pPr>
              <w:pStyle w:val="Header"/>
              <w:rPr>
                <w:rFonts w:cs="Arial"/>
                <w:b/>
                <w:bCs/>
              </w:rPr>
            </w:pPr>
          </w:p>
        </w:tc>
        <w:tc>
          <w:tcPr>
            <w:tcW w:w="2715" w:type="dxa"/>
            <w:tcBorders>
              <w:top w:val="single" w:sz="4" w:space="0" w:color="BFBFBF"/>
              <w:left w:val="single" w:sz="4" w:space="0" w:color="BFBFBF"/>
              <w:bottom w:val="single" w:sz="4" w:space="0" w:color="BFBFBF"/>
            </w:tcBorders>
            <w:shd w:val="clear" w:color="auto" w:fill="FFFFFF"/>
          </w:tcPr>
          <w:p w14:paraId="270D3E6D" w14:textId="77777777" w:rsidR="00566A5E" w:rsidRPr="006F468C" w:rsidRDefault="00566A5E" w:rsidP="00566A5E">
            <w:pPr>
              <w:rPr>
                <w:rFonts w:cs="Arial"/>
              </w:rPr>
            </w:pPr>
          </w:p>
        </w:tc>
        <w:tc>
          <w:tcPr>
            <w:tcW w:w="1751" w:type="dxa"/>
            <w:tcBorders>
              <w:top w:val="single" w:sz="4" w:space="0" w:color="BFBFBF"/>
              <w:left w:val="single" w:sz="4" w:space="0" w:color="BFBFBF"/>
              <w:bottom w:val="single" w:sz="4" w:space="0" w:color="BFBFBF"/>
            </w:tcBorders>
            <w:shd w:val="clear" w:color="auto" w:fill="FFFFFF"/>
          </w:tcPr>
          <w:p w14:paraId="42209106" w14:textId="77777777" w:rsidR="00566A5E" w:rsidRPr="006F468C" w:rsidRDefault="00566A5E" w:rsidP="00566A5E">
            <w:pPr>
              <w:pStyle w:val="Quote"/>
              <w:spacing w:before="120"/>
              <w:rPr>
                <w:rFonts w:cs="Arial"/>
              </w:rPr>
            </w:pPr>
            <w:r w:rsidRPr="006F468C">
              <w:rPr>
                <w:rFonts w:cs="Arial"/>
              </w:rPr>
              <w:t>Interview</w:t>
            </w:r>
          </w:p>
        </w:tc>
      </w:tr>
      <w:tr w:rsidR="00566A5E" w:rsidRPr="006F468C" w14:paraId="11874553" w14:textId="77777777" w:rsidTr="00566A5E">
        <w:tc>
          <w:tcPr>
            <w:tcW w:w="2086" w:type="dxa"/>
            <w:tcBorders>
              <w:top w:val="single" w:sz="4" w:space="0" w:color="BFBFBF"/>
              <w:bottom w:val="single" w:sz="4" w:space="0" w:color="BFBFBF"/>
              <w:right w:val="single" w:sz="4" w:space="0" w:color="BFBFBF"/>
            </w:tcBorders>
            <w:shd w:val="clear" w:color="auto" w:fill="FFFFFF"/>
          </w:tcPr>
          <w:p w14:paraId="1C59AAF4" w14:textId="77777777" w:rsidR="00566A5E" w:rsidRPr="006F468C" w:rsidRDefault="00566A5E" w:rsidP="00566A5E">
            <w:pPr>
              <w:pStyle w:val="Quote"/>
              <w:spacing w:before="120"/>
              <w:rPr>
                <w:rFonts w:cs="Arial"/>
                <w:b/>
              </w:rPr>
            </w:pPr>
          </w:p>
        </w:tc>
        <w:tc>
          <w:tcPr>
            <w:tcW w:w="7361" w:type="dxa"/>
            <w:tcBorders>
              <w:top w:val="nil"/>
              <w:bottom w:val="single" w:sz="4" w:space="0" w:color="auto"/>
            </w:tcBorders>
          </w:tcPr>
          <w:p w14:paraId="37000452" w14:textId="77777777" w:rsidR="00566A5E" w:rsidRDefault="00566A5E" w:rsidP="00566A5E">
            <w:pPr>
              <w:pStyle w:val="Header"/>
              <w:tabs>
                <w:tab w:val="num" w:pos="0"/>
              </w:tabs>
              <w:rPr>
                <w:rFonts w:cs="Arial"/>
                <w:b/>
                <w:bCs/>
              </w:rPr>
            </w:pPr>
          </w:p>
        </w:tc>
        <w:tc>
          <w:tcPr>
            <w:tcW w:w="2715" w:type="dxa"/>
            <w:tcBorders>
              <w:top w:val="single" w:sz="4" w:space="0" w:color="BFBFBF"/>
              <w:left w:val="single" w:sz="4" w:space="0" w:color="BFBFBF"/>
              <w:bottom w:val="single" w:sz="4" w:space="0" w:color="BFBFBF"/>
            </w:tcBorders>
            <w:shd w:val="clear" w:color="auto" w:fill="FFFFFF"/>
          </w:tcPr>
          <w:p w14:paraId="16B281AD" w14:textId="77777777" w:rsidR="00566A5E" w:rsidRPr="006F468C" w:rsidRDefault="00566A5E" w:rsidP="00566A5E">
            <w:pPr>
              <w:rPr>
                <w:rFonts w:cs="Arial"/>
              </w:rPr>
            </w:pPr>
          </w:p>
        </w:tc>
        <w:tc>
          <w:tcPr>
            <w:tcW w:w="1751" w:type="dxa"/>
            <w:tcBorders>
              <w:top w:val="single" w:sz="4" w:space="0" w:color="BFBFBF"/>
              <w:left w:val="single" w:sz="4" w:space="0" w:color="BFBFBF"/>
              <w:bottom w:val="single" w:sz="4" w:space="0" w:color="BFBFBF"/>
            </w:tcBorders>
            <w:shd w:val="clear" w:color="auto" w:fill="FFFFFF"/>
          </w:tcPr>
          <w:p w14:paraId="5925930D" w14:textId="77777777" w:rsidR="00566A5E" w:rsidRPr="006F468C" w:rsidRDefault="00566A5E" w:rsidP="00566A5E">
            <w:pPr>
              <w:pStyle w:val="Quote"/>
              <w:spacing w:before="120"/>
              <w:rPr>
                <w:rFonts w:cs="Arial"/>
              </w:rPr>
            </w:pPr>
          </w:p>
        </w:tc>
      </w:tr>
      <w:tr w:rsidR="00566A5E" w:rsidRPr="006F468C" w14:paraId="03F06226" w14:textId="77777777" w:rsidTr="00566A5E">
        <w:tc>
          <w:tcPr>
            <w:tcW w:w="2086" w:type="dxa"/>
            <w:tcBorders>
              <w:top w:val="single" w:sz="4" w:space="0" w:color="BFBFBF"/>
              <w:bottom w:val="single" w:sz="4" w:space="0" w:color="BFBFBF"/>
              <w:right w:val="single" w:sz="4" w:space="0" w:color="BFBFBF"/>
            </w:tcBorders>
            <w:shd w:val="clear" w:color="auto" w:fill="FFFFFF"/>
          </w:tcPr>
          <w:p w14:paraId="0D7B2E56" w14:textId="77777777" w:rsidR="00566A5E" w:rsidRPr="006F468C" w:rsidRDefault="00566A5E" w:rsidP="00566A5E">
            <w:pPr>
              <w:pStyle w:val="Quote"/>
              <w:spacing w:before="120"/>
              <w:rPr>
                <w:rFonts w:cs="Arial"/>
                <w:b/>
              </w:rPr>
            </w:pPr>
          </w:p>
        </w:tc>
        <w:tc>
          <w:tcPr>
            <w:tcW w:w="7361" w:type="dxa"/>
            <w:tcBorders>
              <w:top w:val="nil"/>
              <w:bottom w:val="single" w:sz="4" w:space="0" w:color="auto"/>
            </w:tcBorders>
          </w:tcPr>
          <w:p w14:paraId="49AD6106" w14:textId="77777777" w:rsidR="00566A5E" w:rsidRDefault="00566A5E" w:rsidP="00566A5E">
            <w:pPr>
              <w:pStyle w:val="Header"/>
              <w:numPr>
                <w:ilvl w:val="0"/>
                <w:numId w:val="48"/>
              </w:numPr>
              <w:tabs>
                <w:tab w:val="clear" w:pos="4513"/>
                <w:tab w:val="clear" w:pos="9026"/>
              </w:tabs>
              <w:rPr>
                <w:rFonts w:cs="Arial"/>
              </w:rPr>
            </w:pPr>
          </w:p>
        </w:tc>
        <w:tc>
          <w:tcPr>
            <w:tcW w:w="2715" w:type="dxa"/>
            <w:tcBorders>
              <w:top w:val="single" w:sz="4" w:space="0" w:color="BFBFBF"/>
              <w:left w:val="single" w:sz="4" w:space="0" w:color="BFBFBF"/>
              <w:bottom w:val="single" w:sz="4" w:space="0" w:color="BFBFBF"/>
            </w:tcBorders>
            <w:shd w:val="clear" w:color="auto" w:fill="FFFFFF"/>
          </w:tcPr>
          <w:p w14:paraId="1B6FFD79" w14:textId="77777777" w:rsidR="00566A5E" w:rsidRPr="006F468C" w:rsidRDefault="00566A5E" w:rsidP="00566A5E">
            <w:pPr>
              <w:rPr>
                <w:rFonts w:cs="Arial"/>
              </w:rPr>
            </w:pPr>
          </w:p>
        </w:tc>
        <w:tc>
          <w:tcPr>
            <w:tcW w:w="1751" w:type="dxa"/>
            <w:tcBorders>
              <w:top w:val="single" w:sz="4" w:space="0" w:color="BFBFBF"/>
              <w:left w:val="single" w:sz="4" w:space="0" w:color="BFBFBF"/>
              <w:bottom w:val="single" w:sz="4" w:space="0" w:color="BFBFBF"/>
            </w:tcBorders>
            <w:shd w:val="clear" w:color="auto" w:fill="FFFFFF"/>
          </w:tcPr>
          <w:p w14:paraId="325BB9B7" w14:textId="77777777" w:rsidR="00566A5E" w:rsidRPr="006F468C" w:rsidRDefault="00566A5E" w:rsidP="00566A5E">
            <w:pPr>
              <w:pStyle w:val="Quote"/>
              <w:spacing w:before="120"/>
              <w:rPr>
                <w:rFonts w:cs="Arial"/>
              </w:rPr>
            </w:pPr>
          </w:p>
        </w:tc>
      </w:tr>
    </w:tbl>
    <w:p w14:paraId="37F1F5EA" w14:textId="77777777" w:rsidR="00D65B7E" w:rsidRPr="006F468C" w:rsidRDefault="00D65B7E" w:rsidP="00642F7A">
      <w:pPr>
        <w:rPr>
          <w:rFonts w:cs="Arial"/>
        </w:rPr>
      </w:pPr>
    </w:p>
    <w:p w14:paraId="5873EEFE" w14:textId="77777777" w:rsidR="00D020CF" w:rsidRPr="006F468C" w:rsidRDefault="00D020CF" w:rsidP="00642F7A">
      <w:pPr>
        <w:rPr>
          <w:rFonts w:cs="Arial"/>
        </w:rPr>
      </w:pPr>
    </w:p>
    <w:sectPr w:rsidR="00D020CF" w:rsidRPr="006F468C" w:rsidSect="0072497C">
      <w:headerReference w:type="default" r:id="rId18"/>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3721" w14:textId="77777777" w:rsidR="0072497C" w:rsidRDefault="0072497C" w:rsidP="00E3351B">
      <w:pPr>
        <w:spacing w:after="0" w:line="240" w:lineRule="auto"/>
      </w:pPr>
      <w:r>
        <w:separator/>
      </w:r>
    </w:p>
  </w:endnote>
  <w:endnote w:type="continuationSeparator" w:id="0">
    <w:p w14:paraId="6B06264F" w14:textId="77777777" w:rsidR="0072497C" w:rsidRDefault="0072497C"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AEF2" w14:textId="77777777" w:rsidR="00470127" w:rsidRDefault="00470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9E35" w14:textId="77777777" w:rsidR="00470127" w:rsidRDefault="00470127">
    <w:pPr>
      <w:pStyle w:val="Footer"/>
    </w:pPr>
    <w:r>
      <w:rPr>
        <w:noProof/>
      </w:rPr>
      <w:pict w14:anchorId="0AAE1B2E">
        <v:shapetype id="_x0000_t202" coordsize="21600,21600" o:spt="202" path="m,l,21600r21600,l21600,xe">
          <v:stroke joinstyle="miter"/>
          <v:path gradientshapeok="t" o:connecttype="rect"/>
        </v:shapetype>
        <v:shape id="MSIPCMe0c54779b6b85e98d3214a10" o:spid="_x0000_s1028" type="#_x0000_t202" alt="{&quot;HashCode&quot;:2071411238,&quot;Height&quot;:9999999.0,&quot;Width&quot;:9999999.0,&quot;Placement&quot;:&quot;Footer&quot;,&quot;Index&quot;:&quot;Primary&quot;,&quot;Section&quot;:1,&quot;Top&quot;:0.0,&quot;Left&quot;:0.0}" style="position:absolute;margin-left:0;margin-top:0;width:612pt;height:36.55pt;z-index:251658752;mso-position-horizontal:left;mso-position-horizontal-relative:page;mso-position-vertical:bottom;mso-position-vertical-relative:page;v-text-anchor:middle" o:allowincell="f" filled="f" stroked="f">
          <v:textbox inset="20pt,0,,0">
            <w:txbxContent>
              <w:p w14:paraId="6A5BFA01" w14:textId="77777777" w:rsidR="00470127" w:rsidRPr="00141998" w:rsidRDefault="00141998" w:rsidP="00141998">
                <w:pPr>
                  <w:spacing w:after="0"/>
                  <w:rPr>
                    <w:rFonts w:ascii="Calibri" w:hAnsi="Calibri" w:cs="Calibri"/>
                    <w:color w:val="000000"/>
                    <w:sz w:val="20"/>
                  </w:rPr>
                </w:pPr>
                <w:r w:rsidRPr="00141998">
                  <w:rPr>
                    <w:rFonts w:ascii="Calibri" w:hAnsi="Calibri" w:cs="Calibri"/>
                    <w:color w:val="000000"/>
                    <w:sz w:val="20"/>
                  </w:rPr>
                  <w:t>Classification : 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05E" w14:textId="77777777" w:rsidR="00470127" w:rsidRDefault="0047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4EAA" w14:textId="77777777" w:rsidR="0072497C" w:rsidRDefault="0072497C" w:rsidP="00E3351B">
      <w:pPr>
        <w:spacing w:after="0" w:line="240" w:lineRule="auto"/>
      </w:pPr>
      <w:r>
        <w:separator/>
      </w:r>
    </w:p>
  </w:footnote>
  <w:footnote w:type="continuationSeparator" w:id="0">
    <w:p w14:paraId="50E25F3A" w14:textId="77777777" w:rsidR="0072497C" w:rsidRDefault="0072497C"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491A" w14:textId="77777777" w:rsidR="00470127" w:rsidRDefault="00470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2D7D" w14:textId="77777777" w:rsidR="00DC6151" w:rsidRDefault="00DC6151">
    <w:pPr>
      <w:pStyle w:val="Header"/>
      <w:rPr>
        <w:i/>
      </w:rPr>
    </w:pPr>
    <w:r w:rsidRPr="0000208E">
      <w:rPr>
        <w:i/>
        <w:noProof/>
      </w:rPr>
      <w:pict w14:anchorId="2F19C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8.85pt;margin-top:-60.6pt;width:69.25pt;height:77.45pt;z-index:251656704">
          <v:imagedata r:id="rId1" o:title="catch22 word header-06"/>
        </v:shape>
      </w:pict>
    </w:r>
  </w:p>
  <w:p w14:paraId="0FF4DB12" w14:textId="77777777" w:rsidR="00DC6151" w:rsidRDefault="00DC6151">
    <w:pPr>
      <w:pStyle w:val="Header"/>
      <w:rPr>
        <w:i/>
      </w:rPr>
    </w:pPr>
  </w:p>
  <w:p w14:paraId="3F850008"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4C16" w14:textId="77777777" w:rsidR="00470127" w:rsidRDefault="004701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D79A" w14:textId="77777777" w:rsidR="00642F7A" w:rsidRPr="0000208E" w:rsidRDefault="00642F7A">
    <w:pPr>
      <w:pStyle w:val="Header"/>
      <w:rPr>
        <w:i/>
      </w:rPr>
    </w:pPr>
    <w:r w:rsidRPr="0000208E">
      <w:rPr>
        <w:i/>
        <w:noProof/>
      </w:rPr>
      <w:pict w14:anchorId="54556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65.6pt;margin-top:-65.65pt;width:69.25pt;height:77.45pt;z-index:251657728">
          <v:imagedata r:id="rId1" o:title="catch22 word header-06"/>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547"/>
    <w:multiLevelType w:val="hybridMultilevel"/>
    <w:tmpl w:val="2CD4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702FC"/>
    <w:multiLevelType w:val="multilevel"/>
    <w:tmpl w:val="69880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60BD5"/>
    <w:multiLevelType w:val="hybridMultilevel"/>
    <w:tmpl w:val="8314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E7C6F"/>
    <w:multiLevelType w:val="hybridMultilevel"/>
    <w:tmpl w:val="93C6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1C4DDD"/>
    <w:multiLevelType w:val="hybridMultilevel"/>
    <w:tmpl w:val="B3B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950E6D"/>
    <w:multiLevelType w:val="multilevel"/>
    <w:tmpl w:val="2304C1BC"/>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D0E21F4"/>
    <w:multiLevelType w:val="hybridMultilevel"/>
    <w:tmpl w:val="7B2A9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270428">
    <w:abstractNumId w:val="38"/>
  </w:num>
  <w:num w:numId="2" w16cid:durableId="575091824">
    <w:abstractNumId w:val="32"/>
  </w:num>
  <w:num w:numId="3" w16cid:durableId="1776293212">
    <w:abstractNumId w:val="27"/>
  </w:num>
  <w:num w:numId="4" w16cid:durableId="306328652">
    <w:abstractNumId w:val="19"/>
  </w:num>
  <w:num w:numId="5" w16cid:durableId="1966308395">
    <w:abstractNumId w:val="45"/>
  </w:num>
  <w:num w:numId="6" w16cid:durableId="1126969613">
    <w:abstractNumId w:val="17"/>
  </w:num>
  <w:num w:numId="7" w16cid:durableId="1863129279">
    <w:abstractNumId w:val="22"/>
  </w:num>
  <w:num w:numId="8" w16cid:durableId="466124332">
    <w:abstractNumId w:val="3"/>
  </w:num>
  <w:num w:numId="9" w16cid:durableId="972445534">
    <w:abstractNumId w:val="44"/>
  </w:num>
  <w:num w:numId="10" w16cid:durableId="1894652861">
    <w:abstractNumId w:val="15"/>
  </w:num>
  <w:num w:numId="11" w16cid:durableId="1329988257">
    <w:abstractNumId w:val="20"/>
  </w:num>
  <w:num w:numId="12" w16cid:durableId="437066824">
    <w:abstractNumId w:val="14"/>
  </w:num>
  <w:num w:numId="13" w16cid:durableId="901330602">
    <w:abstractNumId w:val="36"/>
  </w:num>
  <w:num w:numId="14" w16cid:durableId="1740863778">
    <w:abstractNumId w:val="23"/>
  </w:num>
  <w:num w:numId="15" w16cid:durableId="1337417994">
    <w:abstractNumId w:val="39"/>
  </w:num>
  <w:num w:numId="16" w16cid:durableId="2010600284">
    <w:abstractNumId w:val="46"/>
  </w:num>
  <w:num w:numId="17" w16cid:durableId="984550711">
    <w:abstractNumId w:val="13"/>
  </w:num>
  <w:num w:numId="18" w16cid:durableId="461652837">
    <w:abstractNumId w:val="12"/>
  </w:num>
  <w:num w:numId="19" w16cid:durableId="742988946">
    <w:abstractNumId w:val="2"/>
  </w:num>
  <w:num w:numId="20" w16cid:durableId="894123383">
    <w:abstractNumId w:val="21"/>
  </w:num>
  <w:num w:numId="21" w16cid:durableId="1145781919">
    <w:abstractNumId w:val="40"/>
  </w:num>
  <w:num w:numId="22" w16cid:durableId="561527110">
    <w:abstractNumId w:val="8"/>
  </w:num>
  <w:num w:numId="23" w16cid:durableId="1841315279">
    <w:abstractNumId w:val="24"/>
  </w:num>
  <w:num w:numId="24" w16cid:durableId="2101368707">
    <w:abstractNumId w:val="5"/>
  </w:num>
  <w:num w:numId="25" w16cid:durableId="258754143">
    <w:abstractNumId w:val="9"/>
  </w:num>
  <w:num w:numId="26" w16cid:durableId="2126461432">
    <w:abstractNumId w:val="37"/>
  </w:num>
  <w:num w:numId="27" w16cid:durableId="821385123">
    <w:abstractNumId w:val="43"/>
  </w:num>
  <w:num w:numId="28" w16cid:durableId="1541168664">
    <w:abstractNumId w:val="28"/>
  </w:num>
  <w:num w:numId="29" w16cid:durableId="283852226">
    <w:abstractNumId w:val="41"/>
  </w:num>
  <w:num w:numId="30" w16cid:durableId="128599711">
    <w:abstractNumId w:val="7"/>
  </w:num>
  <w:num w:numId="31" w16cid:durableId="2085760377">
    <w:abstractNumId w:val="29"/>
  </w:num>
  <w:num w:numId="32" w16cid:durableId="1017074149">
    <w:abstractNumId w:val="10"/>
  </w:num>
  <w:num w:numId="33" w16cid:durableId="386227768">
    <w:abstractNumId w:val="6"/>
  </w:num>
  <w:num w:numId="34" w16cid:durableId="1548493737">
    <w:abstractNumId w:val="33"/>
  </w:num>
  <w:num w:numId="35" w16cid:durableId="1390230464">
    <w:abstractNumId w:val="4"/>
  </w:num>
  <w:num w:numId="36" w16cid:durableId="1774588453">
    <w:abstractNumId w:val="1"/>
  </w:num>
  <w:num w:numId="37" w16cid:durableId="976304066">
    <w:abstractNumId w:val="47"/>
  </w:num>
  <w:num w:numId="38" w16cid:durableId="1275938134">
    <w:abstractNumId w:val="18"/>
  </w:num>
  <w:num w:numId="39" w16cid:durableId="1010370693">
    <w:abstractNumId w:val="42"/>
  </w:num>
  <w:num w:numId="40" w16cid:durableId="359823215">
    <w:abstractNumId w:val="25"/>
  </w:num>
  <w:num w:numId="41" w16cid:durableId="587546054">
    <w:abstractNumId w:val="31"/>
  </w:num>
  <w:num w:numId="42" w16cid:durableId="501437208">
    <w:abstractNumId w:val="11"/>
    <w:lvlOverride w:ilvl="0"/>
    <w:lvlOverride w:ilvl="1"/>
    <w:lvlOverride w:ilvl="2"/>
    <w:lvlOverride w:ilvl="3"/>
    <w:lvlOverride w:ilvl="4"/>
    <w:lvlOverride w:ilvl="5"/>
    <w:lvlOverride w:ilvl="6"/>
    <w:lvlOverride w:ilvl="7"/>
    <w:lvlOverride w:ilvl="8"/>
  </w:num>
  <w:num w:numId="43" w16cid:durableId="131680026">
    <w:abstractNumId w:val="34"/>
  </w:num>
  <w:num w:numId="44" w16cid:durableId="73017129">
    <w:abstractNumId w:val="26"/>
  </w:num>
  <w:num w:numId="45" w16cid:durableId="2046834161">
    <w:abstractNumId w:val="0"/>
  </w:num>
  <w:num w:numId="46" w16cid:durableId="518469236">
    <w:abstractNumId w:val="16"/>
  </w:num>
  <w:num w:numId="47" w16cid:durableId="1277978127">
    <w:abstractNumId w:val="30"/>
  </w:num>
  <w:num w:numId="48" w16cid:durableId="4562647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3074">
      <o:colormru v:ext="edit" colors="#4bacc6"/>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51B"/>
    <w:rsid w:val="0000208E"/>
    <w:rsid w:val="0000599E"/>
    <w:rsid w:val="00014A46"/>
    <w:rsid w:val="000279F1"/>
    <w:rsid w:val="00057A53"/>
    <w:rsid w:val="0006024F"/>
    <w:rsid w:val="00070604"/>
    <w:rsid w:val="00083B3E"/>
    <w:rsid w:val="000C1F49"/>
    <w:rsid w:val="000C2FD0"/>
    <w:rsid w:val="000D0887"/>
    <w:rsid w:val="000D096B"/>
    <w:rsid w:val="000D16D9"/>
    <w:rsid w:val="000E124F"/>
    <w:rsid w:val="000E5243"/>
    <w:rsid w:val="001007A0"/>
    <w:rsid w:val="001054FB"/>
    <w:rsid w:val="001066D8"/>
    <w:rsid w:val="0011268D"/>
    <w:rsid w:val="0012077F"/>
    <w:rsid w:val="00137AAD"/>
    <w:rsid w:val="00141998"/>
    <w:rsid w:val="001446C2"/>
    <w:rsid w:val="00160CEF"/>
    <w:rsid w:val="00167CF3"/>
    <w:rsid w:val="00184656"/>
    <w:rsid w:val="00185722"/>
    <w:rsid w:val="001B067D"/>
    <w:rsid w:val="001C389A"/>
    <w:rsid w:val="001D6F7C"/>
    <w:rsid w:val="001F0D07"/>
    <w:rsid w:val="002547EE"/>
    <w:rsid w:val="00270628"/>
    <w:rsid w:val="00271355"/>
    <w:rsid w:val="00273521"/>
    <w:rsid w:val="00276AC9"/>
    <w:rsid w:val="00277907"/>
    <w:rsid w:val="0029723A"/>
    <w:rsid w:val="002A351D"/>
    <w:rsid w:val="002A71A7"/>
    <w:rsid w:val="002B7C7F"/>
    <w:rsid w:val="002C6848"/>
    <w:rsid w:val="002D3876"/>
    <w:rsid w:val="002F3884"/>
    <w:rsid w:val="002F53DF"/>
    <w:rsid w:val="003011CF"/>
    <w:rsid w:val="003044E3"/>
    <w:rsid w:val="00305809"/>
    <w:rsid w:val="00312411"/>
    <w:rsid w:val="00351287"/>
    <w:rsid w:val="00351874"/>
    <w:rsid w:val="0036285A"/>
    <w:rsid w:val="00384BED"/>
    <w:rsid w:val="003877FC"/>
    <w:rsid w:val="003B2762"/>
    <w:rsid w:val="003C1537"/>
    <w:rsid w:val="003C758F"/>
    <w:rsid w:val="003D30FC"/>
    <w:rsid w:val="00401B83"/>
    <w:rsid w:val="00402A36"/>
    <w:rsid w:val="00406E5D"/>
    <w:rsid w:val="00427C5A"/>
    <w:rsid w:val="004307C3"/>
    <w:rsid w:val="0045046A"/>
    <w:rsid w:val="004568CB"/>
    <w:rsid w:val="00470127"/>
    <w:rsid w:val="004758FD"/>
    <w:rsid w:val="00483B73"/>
    <w:rsid w:val="004D1D0A"/>
    <w:rsid w:val="004D314B"/>
    <w:rsid w:val="0053540F"/>
    <w:rsid w:val="00566A5E"/>
    <w:rsid w:val="0058259F"/>
    <w:rsid w:val="00586A79"/>
    <w:rsid w:val="0058783E"/>
    <w:rsid w:val="0059445B"/>
    <w:rsid w:val="00594F36"/>
    <w:rsid w:val="005C136D"/>
    <w:rsid w:val="005E50F7"/>
    <w:rsid w:val="005F1BD2"/>
    <w:rsid w:val="005F282F"/>
    <w:rsid w:val="005F4412"/>
    <w:rsid w:val="005F45B1"/>
    <w:rsid w:val="00615A38"/>
    <w:rsid w:val="00620214"/>
    <w:rsid w:val="006231FB"/>
    <w:rsid w:val="006345E0"/>
    <w:rsid w:val="00642F7A"/>
    <w:rsid w:val="00647D39"/>
    <w:rsid w:val="00650875"/>
    <w:rsid w:val="006552B9"/>
    <w:rsid w:val="00663C9C"/>
    <w:rsid w:val="006703D9"/>
    <w:rsid w:val="006818F1"/>
    <w:rsid w:val="00696E3C"/>
    <w:rsid w:val="006E4F0C"/>
    <w:rsid w:val="006E6660"/>
    <w:rsid w:val="006F468C"/>
    <w:rsid w:val="006F532E"/>
    <w:rsid w:val="00703905"/>
    <w:rsid w:val="0070504E"/>
    <w:rsid w:val="00706DBE"/>
    <w:rsid w:val="007161FA"/>
    <w:rsid w:val="0072497C"/>
    <w:rsid w:val="00726E28"/>
    <w:rsid w:val="00737A12"/>
    <w:rsid w:val="0074613A"/>
    <w:rsid w:val="00760F0D"/>
    <w:rsid w:val="007675B3"/>
    <w:rsid w:val="007917AA"/>
    <w:rsid w:val="00795C34"/>
    <w:rsid w:val="00797900"/>
    <w:rsid w:val="007A67D2"/>
    <w:rsid w:val="007F69A9"/>
    <w:rsid w:val="00834898"/>
    <w:rsid w:val="008736E6"/>
    <w:rsid w:val="0087491C"/>
    <w:rsid w:val="00891448"/>
    <w:rsid w:val="008A69CE"/>
    <w:rsid w:val="008B0E89"/>
    <w:rsid w:val="008B13B1"/>
    <w:rsid w:val="008C57E7"/>
    <w:rsid w:val="008C7411"/>
    <w:rsid w:val="008E3093"/>
    <w:rsid w:val="008E3414"/>
    <w:rsid w:val="008F2391"/>
    <w:rsid w:val="00904A59"/>
    <w:rsid w:val="00907F54"/>
    <w:rsid w:val="0092184B"/>
    <w:rsid w:val="009271F4"/>
    <w:rsid w:val="00935F31"/>
    <w:rsid w:val="009447B4"/>
    <w:rsid w:val="00957892"/>
    <w:rsid w:val="00964DAC"/>
    <w:rsid w:val="00994F31"/>
    <w:rsid w:val="009A05B6"/>
    <w:rsid w:val="009C60FD"/>
    <w:rsid w:val="009D59B3"/>
    <w:rsid w:val="009E15D3"/>
    <w:rsid w:val="00A12A5B"/>
    <w:rsid w:val="00A21FA3"/>
    <w:rsid w:val="00A22454"/>
    <w:rsid w:val="00A2534E"/>
    <w:rsid w:val="00A44529"/>
    <w:rsid w:val="00A541FA"/>
    <w:rsid w:val="00A663F6"/>
    <w:rsid w:val="00AA1108"/>
    <w:rsid w:val="00AA7470"/>
    <w:rsid w:val="00AC5F56"/>
    <w:rsid w:val="00AE0054"/>
    <w:rsid w:val="00AE6B81"/>
    <w:rsid w:val="00AF308B"/>
    <w:rsid w:val="00B02F15"/>
    <w:rsid w:val="00B22046"/>
    <w:rsid w:val="00B66F8D"/>
    <w:rsid w:val="00B67902"/>
    <w:rsid w:val="00B70E6E"/>
    <w:rsid w:val="00B819AE"/>
    <w:rsid w:val="00B87C51"/>
    <w:rsid w:val="00B90B6E"/>
    <w:rsid w:val="00B93749"/>
    <w:rsid w:val="00BA465B"/>
    <w:rsid w:val="00BB1923"/>
    <w:rsid w:val="00BB72F7"/>
    <w:rsid w:val="00BC5DE0"/>
    <w:rsid w:val="00BD1D9A"/>
    <w:rsid w:val="00BE42B6"/>
    <w:rsid w:val="00BE676A"/>
    <w:rsid w:val="00C22734"/>
    <w:rsid w:val="00C26A60"/>
    <w:rsid w:val="00C32FBB"/>
    <w:rsid w:val="00C81C4A"/>
    <w:rsid w:val="00C830B6"/>
    <w:rsid w:val="00C93BA6"/>
    <w:rsid w:val="00C968ED"/>
    <w:rsid w:val="00C96F79"/>
    <w:rsid w:val="00CA12AC"/>
    <w:rsid w:val="00CA64FE"/>
    <w:rsid w:val="00CB2330"/>
    <w:rsid w:val="00CB72A1"/>
    <w:rsid w:val="00CD270D"/>
    <w:rsid w:val="00D020CF"/>
    <w:rsid w:val="00D272C4"/>
    <w:rsid w:val="00D34489"/>
    <w:rsid w:val="00D411D8"/>
    <w:rsid w:val="00D44078"/>
    <w:rsid w:val="00D44535"/>
    <w:rsid w:val="00D554FC"/>
    <w:rsid w:val="00D63A20"/>
    <w:rsid w:val="00D65B7E"/>
    <w:rsid w:val="00D7525E"/>
    <w:rsid w:val="00D87ADC"/>
    <w:rsid w:val="00D9609F"/>
    <w:rsid w:val="00DB5E35"/>
    <w:rsid w:val="00DC41F4"/>
    <w:rsid w:val="00DC6151"/>
    <w:rsid w:val="00E04B76"/>
    <w:rsid w:val="00E056AE"/>
    <w:rsid w:val="00E14D97"/>
    <w:rsid w:val="00E3351B"/>
    <w:rsid w:val="00E50EE0"/>
    <w:rsid w:val="00E95D05"/>
    <w:rsid w:val="00EB063B"/>
    <w:rsid w:val="00EC1A09"/>
    <w:rsid w:val="00F0278E"/>
    <w:rsid w:val="00F230BC"/>
    <w:rsid w:val="00F43502"/>
    <w:rsid w:val="00F51F81"/>
    <w:rsid w:val="00F8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4bacc6"/>
    </o:shapedefaults>
    <o:shapelayout v:ext="edit">
      <o:idmap v:ext="edit" data="2"/>
    </o:shapelayout>
  </w:shapeDefaults>
  <w:decimalSymbol w:val="."/>
  <w:listSeparator w:val=","/>
  <w14:docId w14:val="7613B10C"/>
  <w15:chartTrackingRefBased/>
  <w15:docId w15:val="{CFA9BF30-5A41-41A0-A114-628EC7CF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019">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871460133">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63923">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414268">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5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23FCAE3CD5F4F9A4AFCB81F485B95" ma:contentTypeVersion="7" ma:contentTypeDescription="Create a new document." ma:contentTypeScope="" ma:versionID="107a18153fab1c972ee1e62b619afdbe">
  <xsd:schema xmlns:xsd="http://www.w3.org/2001/XMLSchema" xmlns:xs="http://www.w3.org/2001/XMLSchema" xmlns:p="http://schemas.microsoft.com/office/2006/metadata/properties" xmlns:ns3="f710c6bd-dd80-42c6-9179-7b38fe20e005" xmlns:ns4="0e6f3fcf-da16-4ead-91a7-350c7cc3254a" targetNamespace="http://schemas.microsoft.com/office/2006/metadata/properties" ma:root="true" ma:fieldsID="20c1e6cadca9943515835421ad634d67" ns3:_="" ns4:_="">
    <xsd:import namespace="f710c6bd-dd80-42c6-9179-7b38fe20e005"/>
    <xsd:import namespace="0e6f3fcf-da16-4ead-91a7-350c7cc3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0c6bd-dd80-42c6-9179-7b38fe20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f3fcf-da16-4ead-91a7-350c7cc32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18CAA-F54B-46F6-8BF4-7BC9A7765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0c6bd-dd80-42c6-9179-7b38fe20e005"/>
    <ds:schemaRef ds:uri="0e6f3fcf-da16-4ead-91a7-350c7cc3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F34B1-5891-491D-960C-C2C6E9901A76}">
  <ds:schemaRefs>
    <ds:schemaRef ds:uri="http://schemas.openxmlformats.org/officeDocument/2006/bibliography"/>
  </ds:schemaRefs>
</ds:datastoreItem>
</file>

<file path=customXml/itemProps3.xml><?xml version="1.0" encoding="utf-8"?>
<ds:datastoreItem xmlns:ds="http://schemas.openxmlformats.org/officeDocument/2006/customXml" ds:itemID="{B72B0AD8-F27B-426C-8A92-752F8BC91205}">
  <ds:schemaRefs>
    <ds:schemaRef ds:uri="http://schemas.microsoft.com/sharepoint/v3/contenttype/forms"/>
  </ds:schemaRefs>
</ds:datastoreItem>
</file>

<file path=customXml/itemProps4.xml><?xml version="1.0" encoding="utf-8"?>
<ds:datastoreItem xmlns:ds="http://schemas.openxmlformats.org/officeDocument/2006/customXml" ds:itemID="{9C6D7EE7-D10A-4260-A8C7-D3B3EF34CD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7953</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Julie Poling</cp:lastModifiedBy>
  <cp:revision>2</cp:revision>
  <cp:lastPrinted>2019-02-25T13:50:00Z</cp:lastPrinted>
  <dcterms:created xsi:type="dcterms:W3CDTF">2024-03-12T15:28:00Z</dcterms:created>
  <dcterms:modified xsi:type="dcterms:W3CDTF">2024-03-12T15:28:00Z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0x01010086823FCAE3CD5F4F9A4AFCB81F485B95</vt:lpwstr>
  </property>
  <property fmtid="{D5CDD505-2E9C-101B-9397-08002B2CF9AE}" pid="3" name="MSIP_Label_47e51286-47c4-4123-8966-22562bada071_Enabled">
    <vt:lpwstr>true</vt:lpwstr>
  </property>
  <property fmtid="{D5CDD505-2E9C-101B-9397-08002B2CF9AE}" pid="4" name="MSIP_Label_47e51286-47c4-4123-8966-22562bada071_SetDate">
    <vt:lpwstr>2022-04-28T08:46:43Z</vt:lpwstr>
  </property>
  <property fmtid="{D5CDD505-2E9C-101B-9397-08002B2CF9AE}" pid="5" name="MSIP_Label_47e51286-47c4-4123-8966-22562bada071_Method">
    <vt:lpwstr>Privileged</vt:lpwstr>
  </property>
  <property fmtid="{D5CDD505-2E9C-101B-9397-08002B2CF9AE}" pid="6" name="MSIP_Label_47e51286-47c4-4123-8966-22562bada071_Name">
    <vt:lpwstr>Internal</vt:lpwstr>
  </property>
  <property fmtid="{D5CDD505-2E9C-101B-9397-08002B2CF9AE}" pid="7" name="MSIP_Label_47e51286-47c4-4123-8966-22562bada071_SiteId">
    <vt:lpwstr>f1ded84e-ebd3-46b2-98f8-658f4ca1209c</vt:lpwstr>
  </property>
  <property fmtid="{D5CDD505-2E9C-101B-9397-08002B2CF9AE}" pid="8" name="MSIP_Label_47e51286-47c4-4123-8966-22562bada071_ActionId">
    <vt:lpwstr>da7fa31e-2182-436d-93d9-d7fa26607804</vt:lpwstr>
  </property>
  <property fmtid="{D5CDD505-2E9C-101B-9397-08002B2CF9AE}" pid="9" name="MSIP_Label_47e51286-47c4-4123-8966-22562bada071_ContentBits">
    <vt:lpwstr>2</vt:lpwstr>
  </property>
</Properties>
</file>