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494DC4EF" w:rsidR="00E449D4" w:rsidRPr="00C138CC" w:rsidRDefault="00CA2699" w:rsidP="00AC182E">
            <w:pPr>
              <w:jc w:val="both"/>
              <w:rPr>
                <w:rFonts w:ascii="Arial" w:hAnsi="Arial" w:cs="Arial"/>
                <w:sz w:val="20"/>
                <w:szCs w:val="20"/>
              </w:rPr>
            </w:pPr>
            <w:r>
              <w:rPr>
                <w:rFonts w:ascii="Arial" w:hAnsi="Arial" w:cs="Arial"/>
                <w:sz w:val="20"/>
                <w:szCs w:val="20"/>
              </w:rPr>
              <w:t xml:space="preserve">Senior </w:t>
            </w:r>
            <w:r w:rsidR="00AF60FB">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r w:rsidR="00E47230">
              <w:rPr>
                <w:rFonts w:ascii="Arial" w:hAnsi="Arial" w:cs="Arial"/>
                <w:sz w:val="20"/>
                <w:szCs w:val="20"/>
              </w:rPr>
              <w:t xml:space="preserve"> - Windows</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C8DF308"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4C2C9D">
              <w:rPr>
                <w:rFonts w:ascii="Arial" w:hAnsi="Arial" w:cs="Arial"/>
                <w:sz w:val="20"/>
                <w:szCs w:val="20"/>
              </w:rPr>
              <w:t>8</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5D872EAC" w:rsidR="00E449D4" w:rsidRPr="00C138CC" w:rsidRDefault="004A3949" w:rsidP="00AC182E">
            <w:pPr>
              <w:jc w:val="both"/>
              <w:rPr>
                <w:rFonts w:ascii="Arial" w:hAnsi="Arial" w:cs="Arial"/>
                <w:sz w:val="20"/>
                <w:szCs w:val="20"/>
              </w:rPr>
            </w:pPr>
            <w:r w:rsidRPr="004A3949">
              <w:rPr>
                <w:rFonts w:ascii="Arial" w:hAnsi="Arial" w:cs="Arial"/>
                <w:sz w:val="20"/>
                <w:szCs w:val="20"/>
              </w:rPr>
              <w:t>00052692</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35AE8507" w:rsidR="00E449D4" w:rsidRPr="00C138CC" w:rsidRDefault="004A3949" w:rsidP="00AC182E">
            <w:pPr>
              <w:jc w:val="both"/>
              <w:rPr>
                <w:rFonts w:ascii="Arial" w:hAnsi="Arial" w:cs="Arial"/>
                <w:sz w:val="20"/>
                <w:szCs w:val="20"/>
              </w:rPr>
            </w:pPr>
            <w:r>
              <w:rPr>
                <w:rFonts w:ascii="Arial" w:hAnsi="Arial" w:cs="Arial"/>
                <w:sz w:val="20"/>
                <w:szCs w:val="20"/>
              </w:rPr>
              <w:t>Lead Platform Engineer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D16BF" w:rsidRDefault="00E449D4" w:rsidP="00AC182E">
            <w:pPr>
              <w:rPr>
                <w:rFonts w:ascii="Arial" w:hAnsi="Arial" w:cs="Arial"/>
                <w:sz w:val="20"/>
                <w:szCs w:val="20"/>
              </w:rPr>
            </w:pPr>
            <w:r w:rsidRPr="00CD16B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4751035D" w:rsidR="00E449D4" w:rsidRDefault="00E449D4" w:rsidP="00AC37D5">
      <w:pPr>
        <w:pStyle w:val="Heading2"/>
        <w:numPr>
          <w:ilvl w:val="0"/>
          <w:numId w:val="5"/>
        </w:numPr>
        <w:tabs>
          <w:tab w:val="left" w:pos="862"/>
        </w:tabs>
        <w:rPr>
          <w:rFonts w:ascii="Arial" w:hAnsi="Arial" w:cs="Arial"/>
          <w:color w:val="E20917"/>
        </w:rPr>
      </w:pPr>
      <w:r w:rsidRPr="00C138CC">
        <w:rPr>
          <w:rFonts w:ascii="Arial" w:hAnsi="Arial" w:cs="Arial"/>
          <w:color w:val="E20917"/>
        </w:rPr>
        <w:t>Position Purpose</w:t>
      </w:r>
    </w:p>
    <w:p w14:paraId="30FE21C7" w14:textId="2FAE7C64" w:rsidR="00AC37D5" w:rsidRDefault="00AC37D5" w:rsidP="00AC37D5">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53E6C8FE" w14:textId="105E7C76" w:rsidR="00FD5FB9" w:rsidRDefault="00FD5FB9" w:rsidP="00576AD9">
      <w:pPr>
        <w:pStyle w:val="Heading2"/>
        <w:tabs>
          <w:tab w:val="left" w:pos="862"/>
        </w:tabs>
        <w:ind w:left="862" w:firstLine="0"/>
        <w:rPr>
          <w:rFonts w:ascii="Arial" w:eastAsia="Times New Roman" w:hAnsi="Arial" w:cs="Arial"/>
          <w:sz w:val="20"/>
          <w:szCs w:val="22"/>
        </w:rPr>
      </w:pPr>
      <w:r w:rsidRPr="00FD5FB9">
        <w:rPr>
          <w:rFonts w:ascii="Arial" w:eastAsia="Times New Roman" w:hAnsi="Arial" w:cs="Arial"/>
          <w:sz w:val="20"/>
          <w:szCs w:val="22"/>
        </w:rPr>
        <w:t>Senior Platform Engineers ensure continued successful operation of technology platforms, minimising any disruptions that can impact client experience. They are accountable for ensuring high availability, resilience and security of platforms as well as business operations / services; incorporating automation to reduce repetition. They perform operations activities for platforms such as managing availability, capacity, service levels, support, upgrades and patching. Provide support to development and implementation through testing; systems integration, configuration and installation; and post implementation support.</w:t>
      </w:r>
      <w:r w:rsidR="007734B5">
        <w:rPr>
          <w:rFonts w:ascii="Arial" w:eastAsia="Times New Roman" w:hAnsi="Arial" w:cs="Arial"/>
          <w:sz w:val="20"/>
          <w:szCs w:val="22"/>
        </w:rPr>
        <w:t xml:space="preserve">  </w:t>
      </w:r>
      <w:r w:rsidR="00576AD9">
        <w:rPr>
          <w:rFonts w:ascii="Arial" w:eastAsia="Times New Roman" w:hAnsi="Arial" w:cs="Arial"/>
          <w:sz w:val="20"/>
          <w:szCs w:val="22"/>
        </w:rPr>
        <w:t xml:space="preserve">They actively contribute to the </w:t>
      </w:r>
      <w:r w:rsidR="00576AD9">
        <w:rPr>
          <w:rFonts w:ascii="Arial" w:hAnsi="Arial" w:cs="Arial"/>
          <w:sz w:val="20"/>
        </w:rPr>
        <w:t>ongoing continual improvement of Platform Engineering practices, methods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77FFC3D0" w14:textId="772F67A2" w:rsidR="004C2C9D" w:rsidRPr="006E6951" w:rsidRDefault="00CD16BF" w:rsidP="2B6F7B31">
      <w:pPr>
        <w:pStyle w:val="ListParagraph"/>
        <w:numPr>
          <w:ilvl w:val="2"/>
          <w:numId w:val="2"/>
        </w:numPr>
        <w:tabs>
          <w:tab w:val="left" w:pos="1180"/>
          <w:tab w:val="left" w:pos="1181"/>
        </w:tabs>
        <w:spacing w:line="276" w:lineRule="auto"/>
        <w:ind w:right="1018"/>
        <w:rPr>
          <w:rFonts w:asciiTheme="minorHAnsi" w:eastAsiaTheme="minorEastAsia" w:hAnsiTheme="minorHAnsi" w:cstheme="minorBidi"/>
          <w:sz w:val="20"/>
          <w:szCs w:val="20"/>
        </w:rPr>
      </w:pPr>
      <w:r w:rsidRPr="2B6F7B31">
        <w:rPr>
          <w:rFonts w:ascii="Arial" w:hAnsi="Arial" w:cs="Arial"/>
          <w:sz w:val="20"/>
          <w:szCs w:val="20"/>
        </w:rPr>
        <w:t>The occupant of this position will hold r</w:t>
      </w:r>
      <w:r w:rsidR="004C2C9D" w:rsidRPr="2B6F7B31">
        <w:rPr>
          <w:rFonts w:ascii="Arial" w:hAnsi="Arial" w:cs="Arial"/>
          <w:sz w:val="20"/>
          <w:szCs w:val="20"/>
        </w:rPr>
        <w:t>elevant postgraduate qualifications or progress towards postgraduate qualifications and extensive relevant experience</w:t>
      </w:r>
      <w:r w:rsidR="7C5F3836" w:rsidRPr="2B6F7B31">
        <w:rPr>
          <w:rFonts w:ascii="Arial" w:hAnsi="Arial" w:cs="Arial"/>
          <w:sz w:val="20"/>
          <w:szCs w:val="20"/>
        </w:rPr>
        <w:t>;</w:t>
      </w:r>
      <w:r w:rsidR="7C5F3836" w:rsidRPr="2B6F7B31">
        <w:rPr>
          <w:rFonts w:ascii="Arial" w:eastAsia="Arial" w:hAnsi="Arial" w:cs="Arial"/>
          <w:sz w:val="20"/>
          <w:szCs w:val="20"/>
        </w:rPr>
        <w:t xml:space="preserve"> or an equivalent combination of relevant experience and/or education/training.</w:t>
      </w:r>
    </w:p>
    <w:p w14:paraId="404223DC" w14:textId="2438936C" w:rsidR="004C2C9D" w:rsidRPr="006E6951" w:rsidRDefault="004C2C9D" w:rsidP="2B6F7B31">
      <w:pPr>
        <w:tabs>
          <w:tab w:val="left" w:pos="1180"/>
          <w:tab w:val="left" w:pos="1181"/>
        </w:tabs>
        <w:spacing w:line="276" w:lineRule="auto"/>
        <w:ind w:left="460" w:right="1018"/>
        <w:rPr>
          <w:rFonts w:ascii="Arial" w:hAnsi="Arial" w:cs="Arial"/>
          <w:sz w:val="20"/>
          <w:szCs w:val="20"/>
        </w:rPr>
      </w:pP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5C7E2E0F" w14:textId="77777777" w:rsidR="004C2C9D" w:rsidRPr="004C2C9D" w:rsidRDefault="00450A51"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Specialist advice. </w:t>
      </w:r>
      <w:r w:rsidR="004C2C9D" w:rsidRPr="004C2C9D">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61D17FA9" w14:textId="77777777" w:rsidR="004C2C9D" w:rsidRPr="004C2C9D" w:rsidRDefault="00CA2699"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Systems development management. </w:t>
      </w:r>
      <w:r w:rsidR="004C2C9D" w:rsidRPr="004C2C9D">
        <w:rPr>
          <w:rFonts w:ascii="Arial" w:eastAsia="Calibri" w:hAnsi="Arial" w:cs="Arial"/>
          <w:color w:val="000000"/>
          <w:sz w:val="20"/>
          <w:szCs w:val="20"/>
        </w:rPr>
        <w:t xml:space="preserve">Defines systems development projects which support the organisation's objectives and plans. Selects, </w:t>
      </w:r>
      <w:r w:rsidR="004C2C9D" w:rsidRPr="004C2C9D">
        <w:rPr>
          <w:rFonts w:ascii="Arial" w:eastAsia="Calibri" w:hAnsi="Arial" w:cs="Arial"/>
          <w:color w:val="000000"/>
          <w:sz w:val="20"/>
          <w:szCs w:val="20"/>
        </w:rPr>
        <w:lastRenderedPageBreak/>
        <w:t>adopts and adapts appropriate systems development methods, tools and techniques selecting appropriately from predictive (plan-driven) approaches or adaptive (iterative/agile) approaches. Ensures that senior management is both aware of and able to provide the required resources. Facilitates availability and optimum utilisation of resources. Monitors and reports on the progress of development projects, ensuring that projects are carried out in accordance with agreed architectures, standards, methods and procedures (including secure software development). Develops road maps to communicate future development activity.</w:t>
      </w:r>
    </w:p>
    <w:p w14:paraId="4F9397C6" w14:textId="583DA1AC" w:rsidR="004C2C9D" w:rsidRPr="004C2C9D" w:rsidRDefault="000858A9"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Systems design.</w:t>
      </w:r>
      <w:r w:rsidRPr="004C2C9D">
        <w:rPr>
          <w:rFonts w:ascii="Arial" w:hAnsi="Arial" w:cs="Arial"/>
          <w:sz w:val="20"/>
          <w:szCs w:val="20"/>
        </w:rPr>
        <w:t xml:space="preserve"> </w:t>
      </w:r>
      <w:r w:rsidR="004C2C9D" w:rsidRPr="004C2C9D">
        <w:rPr>
          <w:rFonts w:ascii="Arial" w:eastAsia="Calibri" w:hAnsi="Arial" w:cs="Arial"/>
          <w:color w:val="000000"/>
          <w:sz w:val="20"/>
          <w:szCs w:val="20"/>
        </w:rPr>
        <w:t>Designs components using appropriate modelling techniques following agreed architectures, design standards, patterns and methodology. Identifies and evaluates alternative design options and trade-offs. Creates multiple design views to address the concerns of the different stakeholders of the architecture and to handle both functional and non-functional requirements. Models, simulates or prototypes the behaviour of proposed systems components to enable approval by stakeholders. Produces detailed design specification to form the basis for construction of systems. Reviews, verifies and improves own designs against specifications.</w:t>
      </w:r>
    </w:p>
    <w:p w14:paraId="6825B856" w14:textId="397FB83B" w:rsidR="00D7720E" w:rsidRPr="004C2C9D" w:rsidRDefault="00F87F98"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Programming/software development.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Designs, codes, verifies, tests, documents, amends and refactors complex programs/scripts and integration software services. Contributes to selection of the software development approach for projects, selecting appropriately from predictive (plan-driven) approaches or adaptive (iterative/agile) approaches. Applies agreed standards and tools, to achieve well-engineered outcomes. Participates in reviews of own work and leads reviews of colleagues' work.</w:t>
      </w:r>
    </w:p>
    <w:p w14:paraId="48038FBC" w14:textId="494E1A0E" w:rsidR="004C2C9D" w:rsidRPr="004C2C9D" w:rsidRDefault="000858A9"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Testing.</w:t>
      </w:r>
      <w:r w:rsidRPr="004C2C9D">
        <w:rPr>
          <w:rFonts w:ascii="Arial" w:hAnsi="Arial" w:cs="Arial"/>
          <w:sz w:val="20"/>
          <w:szCs w:val="20"/>
        </w:rPr>
        <w:t xml:space="preserve"> </w:t>
      </w:r>
      <w:r w:rsidR="004C2C9D" w:rsidRPr="004C2C9D">
        <w:rPr>
          <w:rFonts w:ascii="Arial" w:eastAsia="Calibri" w:hAnsi="Arial" w:cs="Arial"/>
          <w:color w:val="000000"/>
          <w:sz w:val="20"/>
          <w:szCs w:val="20"/>
        </w:rPr>
        <w:t>Accepts responsibility for creation of test cases using own in-depth technical analysis of both functional and non-functional specifications (such as reliability, efficiency, usability, maintainability and portability). Creates traceability records, from test cases back to requirements. Produces test scripts, materials and regression test packs to test new and amended software or services. Specifies requirements for environment, data, resources and tools. Interprets, executes and documents complex test scripts using agreed methods and standards. Records and analyses actions and results and maintains a defect register. Reviews test results and modifies tests if necessary. Provides reports on progress, anomalies, risks and issues associated with the overall project. Reports on system quality and collects metrics on test cases. Provides specialist advice to support others.</w:t>
      </w:r>
    </w:p>
    <w:p w14:paraId="66D126D0" w14:textId="77777777" w:rsidR="004C2C9D" w:rsidRPr="004C2C9D" w:rsidRDefault="00F120D7"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Systems integration and build.</w:t>
      </w:r>
      <w:r w:rsidRPr="004C2C9D">
        <w:rPr>
          <w:rFonts w:ascii="Arial" w:hAnsi="Arial" w:cs="Arial"/>
          <w:sz w:val="20"/>
          <w:szCs w:val="20"/>
        </w:rPr>
        <w:t xml:space="preserve"> </w:t>
      </w:r>
      <w:r w:rsidR="004C2C9D" w:rsidRPr="004C2C9D">
        <w:rPr>
          <w:rFonts w:ascii="Arial" w:eastAsia="Calibri" w:hAnsi="Arial" w:cs="Arial"/>
          <w:color w:val="000000"/>
          <w:sz w:val="20"/>
          <w:szCs w:val="20"/>
        </w:rPr>
        <w:t>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performs and reports results of tests of the integration build. Identifies and documents system integration components for recording in the configuration management system. Recommends and implements improvements to processes and tools.</w:t>
      </w:r>
    </w:p>
    <w:p w14:paraId="3208C635" w14:textId="1EA935D8" w:rsidR="000858A9" w:rsidRPr="004C2C9D" w:rsidRDefault="00F120D7"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Availability management.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 xml:space="preserve">Contributes to the availability management process and its operation and performs defined availability management </w:t>
      </w:r>
      <w:r w:rsidR="004C2C9D" w:rsidRPr="004C2C9D">
        <w:rPr>
          <w:rFonts w:ascii="Arial" w:eastAsia="Calibri" w:hAnsi="Arial" w:cs="Arial"/>
          <w:color w:val="000000"/>
          <w:sz w:val="20"/>
          <w:szCs w:val="20"/>
        </w:rPr>
        <w:lastRenderedPageBreak/>
        <w:t>tasks. Analyses service and component availability, reliability, maintainability and serviceability. Ensures that services and components meet and continue to meet all of their agreed performance targets and service levels. Implements arrangements for disaster recovery and documents recovery procedures. Conducts testing of recovery procedures.</w:t>
      </w:r>
    </w:p>
    <w:p w14:paraId="5255AAC0" w14:textId="77777777" w:rsidR="004C2C9D" w:rsidRPr="004C2C9D" w:rsidRDefault="000858A9"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Capacity management.</w:t>
      </w:r>
      <w:r w:rsidRPr="004C2C9D">
        <w:rPr>
          <w:rFonts w:ascii="Arial" w:hAnsi="Arial" w:cs="Arial"/>
          <w:sz w:val="20"/>
          <w:szCs w:val="20"/>
        </w:rPr>
        <w:t xml:space="preserve"> </w:t>
      </w:r>
      <w:r w:rsidR="004C2C9D" w:rsidRPr="004C2C9D">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35CE5579" w14:textId="0EC732CE" w:rsidR="009473A3" w:rsidRPr="004C2C9D" w:rsidRDefault="009776C6" w:rsidP="002B451C">
      <w:pPr>
        <w:pStyle w:val="ListParagraph"/>
        <w:numPr>
          <w:ilvl w:val="2"/>
          <w:numId w:val="2"/>
        </w:numPr>
        <w:tabs>
          <w:tab w:val="left" w:pos="1180"/>
          <w:tab w:val="left" w:pos="1181"/>
        </w:tabs>
        <w:spacing w:before="117" w:after="240" w:line="276" w:lineRule="auto"/>
        <w:ind w:right="1024"/>
        <w:rPr>
          <w:rFonts w:ascii="Arial" w:hAnsi="Arial" w:cs="Arial"/>
          <w:sz w:val="20"/>
          <w:szCs w:val="20"/>
        </w:rPr>
      </w:pPr>
      <w:r w:rsidRPr="72186174">
        <w:rPr>
          <w:rFonts w:ascii="Arial" w:hAnsi="Arial" w:cs="Arial"/>
          <w:sz w:val="20"/>
          <w:szCs w:val="20"/>
        </w:rPr>
        <w:t>Support</w:t>
      </w:r>
      <w:r w:rsidR="00E449D4" w:rsidRPr="72186174">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5E8A482" w:rsidR="00E449D4" w:rsidRDefault="00E449D4" w:rsidP="002B451C">
      <w:pPr>
        <w:pStyle w:val="ListParagraph"/>
        <w:numPr>
          <w:ilvl w:val="2"/>
          <w:numId w:val="2"/>
        </w:numPr>
        <w:tabs>
          <w:tab w:val="left" w:pos="1180"/>
          <w:tab w:val="left" w:pos="1181"/>
        </w:tabs>
        <w:spacing w:before="117" w:line="276" w:lineRule="auto"/>
        <w:ind w:right="1024"/>
        <w:rPr>
          <w:rFonts w:ascii="Arial" w:hAnsi="Arial" w:cs="Arial"/>
          <w:sz w:val="20"/>
          <w:szCs w:val="20"/>
        </w:rPr>
      </w:pPr>
      <w:r w:rsidRPr="000858A9">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3"/>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7F45" w14:textId="77777777" w:rsidR="005856CD" w:rsidRDefault="005856CD" w:rsidP="00E449D4">
      <w:r>
        <w:separator/>
      </w:r>
    </w:p>
  </w:endnote>
  <w:endnote w:type="continuationSeparator" w:id="0">
    <w:p w14:paraId="0F356E1A" w14:textId="77777777" w:rsidR="005856CD" w:rsidRDefault="005856CD" w:rsidP="00E449D4">
      <w:r>
        <w:continuationSeparator/>
      </w:r>
    </w:p>
  </w:endnote>
  <w:endnote w:type="continuationNotice" w:id="1">
    <w:p w14:paraId="5AD71214" w14:textId="77777777" w:rsidR="005856CD" w:rsidRDefault="00585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EADC8A">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F95B3">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295F" w14:textId="77777777" w:rsidR="005856CD" w:rsidRDefault="005856CD" w:rsidP="00E449D4">
      <w:r>
        <w:separator/>
      </w:r>
    </w:p>
  </w:footnote>
  <w:footnote w:type="continuationSeparator" w:id="0">
    <w:p w14:paraId="0555BA87" w14:textId="77777777" w:rsidR="005856CD" w:rsidRDefault="005856CD" w:rsidP="00E449D4">
      <w:r>
        <w:continuationSeparator/>
      </w:r>
    </w:p>
  </w:footnote>
  <w:footnote w:type="continuationNotice" w:id="1">
    <w:p w14:paraId="17E458D2" w14:textId="77777777" w:rsidR="005856CD" w:rsidRDefault="00585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5BD2BD7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61C716">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B202B5">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ADD"/>
    <w:multiLevelType w:val="multilevel"/>
    <w:tmpl w:val="6874B2E2"/>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9C155B1"/>
    <w:multiLevelType w:val="hybridMultilevel"/>
    <w:tmpl w:val="3C44617C"/>
    <w:lvl w:ilvl="0" w:tplc="577A36AC">
      <w:start w:val="1"/>
      <w:numFmt w:val="bullet"/>
      <w:lvlText w:val=""/>
      <w:lvlJc w:val="left"/>
      <w:pPr>
        <w:ind w:left="720" w:hanging="360"/>
      </w:pPr>
      <w:rPr>
        <w:rFonts w:ascii="Symbol" w:hAnsi="Symbol" w:hint="default"/>
      </w:rPr>
    </w:lvl>
    <w:lvl w:ilvl="1" w:tplc="D0283084">
      <w:start w:val="1"/>
      <w:numFmt w:val="bullet"/>
      <w:lvlText w:val="o"/>
      <w:lvlJc w:val="left"/>
      <w:pPr>
        <w:ind w:left="1440" w:hanging="360"/>
      </w:pPr>
      <w:rPr>
        <w:rFonts w:ascii="Courier New" w:hAnsi="Courier New" w:hint="default"/>
      </w:rPr>
    </w:lvl>
    <w:lvl w:ilvl="2" w:tplc="840061B4">
      <w:start w:val="1"/>
      <w:numFmt w:val="bullet"/>
      <w:lvlText w:val="§"/>
      <w:lvlJc w:val="left"/>
      <w:pPr>
        <w:ind w:left="2160" w:hanging="360"/>
      </w:pPr>
      <w:rPr>
        <w:rFonts w:ascii="Wingdings" w:hAnsi="Wingdings" w:hint="default"/>
      </w:rPr>
    </w:lvl>
    <w:lvl w:ilvl="3" w:tplc="BC5CC116">
      <w:start w:val="1"/>
      <w:numFmt w:val="bullet"/>
      <w:lvlText w:val=""/>
      <w:lvlJc w:val="left"/>
      <w:pPr>
        <w:ind w:left="2880" w:hanging="360"/>
      </w:pPr>
      <w:rPr>
        <w:rFonts w:ascii="Symbol" w:hAnsi="Symbol" w:hint="default"/>
      </w:rPr>
    </w:lvl>
    <w:lvl w:ilvl="4" w:tplc="E1AE89AC">
      <w:start w:val="1"/>
      <w:numFmt w:val="bullet"/>
      <w:lvlText w:val="o"/>
      <w:lvlJc w:val="left"/>
      <w:pPr>
        <w:ind w:left="3600" w:hanging="360"/>
      </w:pPr>
      <w:rPr>
        <w:rFonts w:ascii="Courier New" w:hAnsi="Courier New" w:hint="default"/>
      </w:rPr>
    </w:lvl>
    <w:lvl w:ilvl="5" w:tplc="34A4C200">
      <w:start w:val="1"/>
      <w:numFmt w:val="bullet"/>
      <w:lvlText w:val=""/>
      <w:lvlJc w:val="left"/>
      <w:pPr>
        <w:ind w:left="4320" w:hanging="360"/>
      </w:pPr>
      <w:rPr>
        <w:rFonts w:ascii="Wingdings" w:hAnsi="Wingdings" w:hint="default"/>
      </w:rPr>
    </w:lvl>
    <w:lvl w:ilvl="6" w:tplc="1D3E2D98">
      <w:start w:val="1"/>
      <w:numFmt w:val="bullet"/>
      <w:lvlText w:val=""/>
      <w:lvlJc w:val="left"/>
      <w:pPr>
        <w:ind w:left="5040" w:hanging="360"/>
      </w:pPr>
      <w:rPr>
        <w:rFonts w:ascii="Symbol" w:hAnsi="Symbol" w:hint="default"/>
      </w:rPr>
    </w:lvl>
    <w:lvl w:ilvl="7" w:tplc="74F08FEE">
      <w:start w:val="1"/>
      <w:numFmt w:val="bullet"/>
      <w:lvlText w:val="o"/>
      <w:lvlJc w:val="left"/>
      <w:pPr>
        <w:ind w:left="5760" w:hanging="360"/>
      </w:pPr>
      <w:rPr>
        <w:rFonts w:ascii="Courier New" w:hAnsi="Courier New" w:hint="default"/>
      </w:rPr>
    </w:lvl>
    <w:lvl w:ilvl="8" w:tplc="48C8A8E0">
      <w:start w:val="1"/>
      <w:numFmt w:val="bullet"/>
      <w:lvlText w:val=""/>
      <w:lvlJc w:val="left"/>
      <w:pPr>
        <w:ind w:left="6480" w:hanging="360"/>
      </w:pPr>
      <w:rPr>
        <w:rFonts w:ascii="Wingdings" w:hAnsi="Wingdings" w:hint="default"/>
      </w:r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137888236">
    <w:abstractNumId w:val="1"/>
  </w:num>
  <w:num w:numId="2" w16cid:durableId="931007623">
    <w:abstractNumId w:val="2"/>
  </w:num>
  <w:num w:numId="3" w16cid:durableId="2015305205">
    <w:abstractNumId w:val="3"/>
  </w:num>
  <w:num w:numId="4" w16cid:durableId="918910239">
    <w:abstractNumId w:val="4"/>
  </w:num>
  <w:num w:numId="5" w16cid:durableId="1284775766">
    <w:abstractNumId w:val="0"/>
  </w:num>
  <w:num w:numId="6" w16cid:durableId="485171484">
    <w:abstractNumId w:val="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36959"/>
    <w:rsid w:val="00040F6D"/>
    <w:rsid w:val="000427B4"/>
    <w:rsid w:val="00055C58"/>
    <w:rsid w:val="000858A9"/>
    <w:rsid w:val="000956EA"/>
    <w:rsid w:val="000F6774"/>
    <w:rsid w:val="00114CD5"/>
    <w:rsid w:val="001F2167"/>
    <w:rsid w:val="002177AB"/>
    <w:rsid w:val="0022493E"/>
    <w:rsid w:val="00253F00"/>
    <w:rsid w:val="00256FD4"/>
    <w:rsid w:val="002A2EFE"/>
    <w:rsid w:val="002B1ABC"/>
    <w:rsid w:val="002D5A61"/>
    <w:rsid w:val="00314332"/>
    <w:rsid w:val="0032400F"/>
    <w:rsid w:val="003535A0"/>
    <w:rsid w:val="00372989"/>
    <w:rsid w:val="003E0643"/>
    <w:rsid w:val="00432D35"/>
    <w:rsid w:val="00450A51"/>
    <w:rsid w:val="00463C5A"/>
    <w:rsid w:val="004A3949"/>
    <w:rsid w:val="004B4514"/>
    <w:rsid w:val="004C2C9D"/>
    <w:rsid w:val="00507E47"/>
    <w:rsid w:val="00512066"/>
    <w:rsid w:val="0053633A"/>
    <w:rsid w:val="00563FD6"/>
    <w:rsid w:val="00576AD9"/>
    <w:rsid w:val="005856CD"/>
    <w:rsid w:val="005869B1"/>
    <w:rsid w:val="005C0F03"/>
    <w:rsid w:val="005C5EBC"/>
    <w:rsid w:val="00624D62"/>
    <w:rsid w:val="00637CC0"/>
    <w:rsid w:val="006402CD"/>
    <w:rsid w:val="006714DB"/>
    <w:rsid w:val="0067558A"/>
    <w:rsid w:val="00695D86"/>
    <w:rsid w:val="006E14DD"/>
    <w:rsid w:val="006F3279"/>
    <w:rsid w:val="00767520"/>
    <w:rsid w:val="007734B5"/>
    <w:rsid w:val="00793648"/>
    <w:rsid w:val="007D2A2C"/>
    <w:rsid w:val="0080035E"/>
    <w:rsid w:val="00823C53"/>
    <w:rsid w:val="00864393"/>
    <w:rsid w:val="00891EB2"/>
    <w:rsid w:val="008E0A60"/>
    <w:rsid w:val="008F5559"/>
    <w:rsid w:val="00914F3A"/>
    <w:rsid w:val="009473A3"/>
    <w:rsid w:val="009776C6"/>
    <w:rsid w:val="0099784A"/>
    <w:rsid w:val="009A5360"/>
    <w:rsid w:val="009E37AB"/>
    <w:rsid w:val="00A2071D"/>
    <w:rsid w:val="00A24720"/>
    <w:rsid w:val="00A661FF"/>
    <w:rsid w:val="00A95A97"/>
    <w:rsid w:val="00AC2E9B"/>
    <w:rsid w:val="00AC37D5"/>
    <w:rsid w:val="00AF60FB"/>
    <w:rsid w:val="00B47C06"/>
    <w:rsid w:val="00BB04D3"/>
    <w:rsid w:val="00BC595D"/>
    <w:rsid w:val="00C3363D"/>
    <w:rsid w:val="00C77ECD"/>
    <w:rsid w:val="00CA2699"/>
    <w:rsid w:val="00CB3226"/>
    <w:rsid w:val="00CD0EC7"/>
    <w:rsid w:val="00CD16BF"/>
    <w:rsid w:val="00D12480"/>
    <w:rsid w:val="00D464B0"/>
    <w:rsid w:val="00D7720E"/>
    <w:rsid w:val="00DC185F"/>
    <w:rsid w:val="00DF28D3"/>
    <w:rsid w:val="00E3020D"/>
    <w:rsid w:val="00E42681"/>
    <w:rsid w:val="00E449D4"/>
    <w:rsid w:val="00E44C38"/>
    <w:rsid w:val="00E47230"/>
    <w:rsid w:val="00E605B2"/>
    <w:rsid w:val="00E70529"/>
    <w:rsid w:val="00E72EFD"/>
    <w:rsid w:val="00E859E7"/>
    <w:rsid w:val="00EB78CB"/>
    <w:rsid w:val="00F120D7"/>
    <w:rsid w:val="00F20766"/>
    <w:rsid w:val="00F75CAD"/>
    <w:rsid w:val="00F825FD"/>
    <w:rsid w:val="00F87F98"/>
    <w:rsid w:val="00FD5FB9"/>
    <w:rsid w:val="2B6F7B31"/>
    <w:rsid w:val="72186174"/>
    <w:rsid w:val="7C5F3836"/>
    <w:rsid w:val="7E6B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560788">
      <w:bodyDiv w:val="1"/>
      <w:marLeft w:val="0"/>
      <w:marRight w:val="0"/>
      <w:marTop w:val="0"/>
      <w:marBottom w:val="0"/>
      <w:divBdr>
        <w:top w:val="none" w:sz="0" w:space="0" w:color="auto"/>
        <w:left w:val="none" w:sz="0" w:space="0" w:color="auto"/>
        <w:bottom w:val="none" w:sz="0" w:space="0" w:color="auto"/>
        <w:right w:val="none" w:sz="0" w:space="0" w:color="auto"/>
      </w:divBdr>
    </w:div>
    <w:div w:id="16308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01298b75-a2dc-4a39-abd4-92c32e0acb21">HEW 8</Level>
    <JobTitle xmlns="01298b75-a2dc-4a39-abd4-92c32e0acb21">Senior Platform Engineer</JobTitle>
    <PositionID xmlns="01298b75-a2dc-4a39-abd4-92c32e0acb21" xsi:nil="true"/>
    <JobFamily xmlns="01298b75-a2dc-4a39-abd4-92c32e0acb21">ICT</JobFamily>
    <JobRole xmlns="01298b75-a2dc-4a39-abd4-92c32e0acb21">Platform Engineering</JobRole>
    <JobFunction xmlns="01298b75-a2dc-4a39-abd4-92c32e0acb21">IT Engineering</Job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C50BF949F4840AE23C82A48C49700" ma:contentTypeVersion="12" ma:contentTypeDescription="Create a new document." ma:contentTypeScope="" ma:versionID="a3333a7093c511af14ad14495550ea13">
  <xsd:schema xmlns:xsd="http://www.w3.org/2001/XMLSchema" xmlns:xs="http://www.w3.org/2001/XMLSchema" xmlns:p="http://schemas.microsoft.com/office/2006/metadata/properties" xmlns:ns2="01298b75-a2dc-4a39-abd4-92c32e0acb21" xmlns:ns3="2eb4d097-928c-4d0a-ab80-2c804d72eac0" targetNamespace="http://schemas.microsoft.com/office/2006/metadata/properties" ma:root="true" ma:fieldsID="31cb7df564b3c618ef82d9c3453e274d" ns2:_="" ns3:_="">
    <xsd:import namespace="01298b75-a2dc-4a39-abd4-92c32e0acb21"/>
    <xsd:import namespace="2eb4d097-928c-4d0a-ab80-2c804d72eac0"/>
    <xsd:element name="properties">
      <xsd:complexType>
        <xsd:sequence>
          <xsd:element name="documentManagement">
            <xsd:complexType>
              <xsd:all>
                <xsd:element ref="ns2:PositionID" minOccurs="0"/>
                <xsd:element ref="ns2:JobFamily" minOccurs="0"/>
                <xsd:element ref="ns2:JobFunction" minOccurs="0"/>
                <xsd:element ref="ns2:JobRole" minOccurs="0"/>
                <xsd:element ref="ns2:MediaServiceMetadata" minOccurs="0"/>
                <xsd:element ref="ns2:MediaServiceFastMetadata" minOccurs="0"/>
                <xsd:element ref="ns2:JobTitle" minOccurs="0"/>
                <xsd:element ref="ns2:MediaServiceAutoKeyPoints" minOccurs="0"/>
                <xsd:element ref="ns2:MediaServiceKeyPoints" minOccurs="0"/>
                <xsd:element ref="ns2:Lev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8b75-a2dc-4a39-abd4-92c32e0acb21" elementFormDefault="qualified">
    <xsd:import namespace="http://schemas.microsoft.com/office/2006/documentManagement/types"/>
    <xsd:import namespace="http://schemas.microsoft.com/office/infopath/2007/PartnerControls"/>
    <xsd:element name="PositionID" ma:index="8" nillable="true" ma:displayName="Position ID" ma:description="Job position ID number" ma:format="Dropdown" ma:internalName="PositionID">
      <xsd:simpleType>
        <xsd:restriction base="dms:Text">
          <xsd:maxLength value="255"/>
        </xsd:restriction>
      </xsd:simpleType>
    </xsd:element>
    <xsd:element name="JobFamily" ma:index="9" nillable="true" ma:displayName="Job Family" ma:description="Job family this position belongs to." ma:format="Dropdown" ma:internalName="JobFamily">
      <xsd:simpleType>
        <xsd:restriction base="dms:Text">
          <xsd:maxLength value="255"/>
        </xsd:restriction>
      </xsd:simpleType>
    </xsd:element>
    <xsd:element name="JobFunction" ma:index="10" nillable="true" ma:displayName="Job Function" ma:description="Job function this position belongs to." ma:format="Dropdown" ma:internalName="JobFunction">
      <xsd:simpleType>
        <xsd:restriction base="dms:Text">
          <xsd:maxLength value="255"/>
        </xsd:restriction>
      </xsd:simpleType>
    </xsd:element>
    <xsd:element name="JobRole" ma:index="11" nillable="true" ma:displayName="Job Role" ma:description="Job role this position belongs to." ma:format="Dropdown" ma:internalName="JobRo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obTitle" ma:index="14" nillable="true" ma:displayName="Job Title" ma:description="Proposed Job Title" ma:format="Dropdown" ma:internalName="JobTitl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evel" ma:index="17" nillable="true" ma:displayName="Level" ma:format="Dropdown" ma:internalName="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347E-77C2-4215-8C2E-826B8C4CAF90}">
  <ds:schemaRefs>
    <ds:schemaRef ds:uri="http://schemas.microsoft.com/office/2006/documentManagement/types"/>
    <ds:schemaRef ds:uri="fcfbea13-0d56-493e-a3fc-2fda4234e73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295194-f0c3-4926-8b95-52620715a016"/>
    <ds:schemaRef ds:uri="http://www.w3.org/XML/1998/namespace"/>
    <ds:schemaRef ds:uri="http://purl.org/dc/dcmitype/"/>
    <ds:schemaRef ds:uri="01298b75-a2dc-4a39-abd4-92c32e0acb21"/>
  </ds:schemaRefs>
</ds:datastoreItem>
</file>

<file path=customXml/itemProps2.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3.xml><?xml version="1.0" encoding="utf-8"?>
<ds:datastoreItem xmlns:ds="http://schemas.openxmlformats.org/officeDocument/2006/customXml" ds:itemID="{F5A062B2-92D9-4CFA-B846-F3582D16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8b75-a2dc-4a39-abd4-92c32e0acb21"/>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53A3-2575-4BE5-87EB-BCC5B6F9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Wayne Beech</cp:lastModifiedBy>
  <cp:revision>3</cp:revision>
  <dcterms:created xsi:type="dcterms:W3CDTF">2022-05-23T05:59:00Z</dcterms:created>
  <dcterms:modified xsi:type="dcterms:W3CDTF">2022-05-23T06:03:00Z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0x01010074EC50BF949F4840AE23C82A48C49700</vt:lpwstr>
  </property>
  <property fmtid="{D5CDD505-2E9C-101B-9397-08002B2CF9AE}" pid="3" name="Order">
    <vt:r8>17700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Job Role">
    <vt:lpwstr>733</vt:lpwstr>
  </property>
  <property fmtid="{D5CDD505-2E9C-101B-9397-08002B2CF9AE}" pid="13" name="Job Function">
    <vt:lpwstr>89</vt:lpwstr>
  </property>
</Properties>
</file>