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432" w14:textId="6394543F" w:rsidR="00F34ECC" w:rsidRDefault="00AD719B">
      <w:pPr>
        <w:tabs>
          <w:tab w:val="left" w:pos="6220"/>
        </w:tabs>
        <w:spacing w:after="6"/>
        <w:ind w:left="110" w:right="-4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6912" behindDoc="1" locked="0" layoutInCell="1" allowOverlap="1" wp14:anchorId="3BE47463" wp14:editId="209D5163">
                <wp:simplePos x="0" y="0"/>
                <wp:positionH relativeFrom="page">
                  <wp:posOffset>4445</wp:posOffset>
                </wp:positionH>
                <wp:positionV relativeFrom="page">
                  <wp:posOffset>7127875</wp:posOffset>
                </wp:positionV>
                <wp:extent cx="3565525" cy="3564255"/>
                <wp:effectExtent l="0" t="0" r="0" b="0"/>
                <wp:wrapNone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5525" cy="3564255"/>
                          <a:chOff x="7" y="11225"/>
                          <a:chExt cx="5615" cy="5613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9" y="11225"/>
                            <a:ext cx="5613" cy="5613"/>
                          </a:xfrm>
                          <a:custGeom>
                            <a:avLst/>
                            <a:gdLst>
                              <a:gd name="T0" fmla="+- 0 9 9"/>
                              <a:gd name="T1" fmla="*/ T0 w 5613"/>
                              <a:gd name="T2" fmla="+- 0 11225 11225"/>
                              <a:gd name="T3" fmla="*/ 11225 h 5613"/>
                              <a:gd name="T4" fmla="+- 0 9 9"/>
                              <a:gd name="T5" fmla="*/ T4 w 5613"/>
                              <a:gd name="T6" fmla="+- 0 16838 11225"/>
                              <a:gd name="T7" fmla="*/ 16838 h 5613"/>
                              <a:gd name="T8" fmla="+- 0 5622 9"/>
                              <a:gd name="T9" fmla="*/ T8 w 5613"/>
                              <a:gd name="T10" fmla="+- 0 16838 11225"/>
                              <a:gd name="T11" fmla="*/ 16838 h 5613"/>
                              <a:gd name="T12" fmla="+- 0 9 9"/>
                              <a:gd name="T13" fmla="*/ T12 w 5613"/>
                              <a:gd name="T14" fmla="+- 0 11225 11225"/>
                              <a:gd name="T15" fmla="*/ 11225 h 5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13" h="5613">
                                <a:moveTo>
                                  <a:pt x="0" y="0"/>
                                </a:moveTo>
                                <a:lnTo>
                                  <a:pt x="0" y="5613"/>
                                </a:lnTo>
                                <a:lnTo>
                                  <a:pt x="5613" y="5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7" y="11247"/>
                            <a:ext cx="2017" cy="3700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2017"/>
                              <a:gd name="T2" fmla="+- 0 11247 11247"/>
                              <a:gd name="T3" fmla="*/ 11247 h 3700"/>
                              <a:gd name="T4" fmla="+- 0 7 7"/>
                              <a:gd name="T5" fmla="*/ T4 w 2017"/>
                              <a:gd name="T6" fmla="+- 0 14947 11247"/>
                              <a:gd name="T7" fmla="*/ 14947 h 3700"/>
                              <a:gd name="T8" fmla="+- 0 2024 7"/>
                              <a:gd name="T9" fmla="*/ T8 w 2017"/>
                              <a:gd name="T10" fmla="+- 0 13244 11247"/>
                              <a:gd name="T11" fmla="*/ 13244 h 3700"/>
                              <a:gd name="T12" fmla="+- 0 7 7"/>
                              <a:gd name="T13" fmla="*/ T12 w 2017"/>
                              <a:gd name="T14" fmla="+- 0 11247 11247"/>
                              <a:gd name="T15" fmla="*/ 11247 h 3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17" h="3700">
                                <a:moveTo>
                                  <a:pt x="0" y="0"/>
                                </a:moveTo>
                                <a:lnTo>
                                  <a:pt x="0" y="3700"/>
                                </a:lnTo>
                                <a:lnTo>
                                  <a:pt x="2017" y="1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83AFF" id="docshapegroup1" o:spid="_x0000_s1026" style="position:absolute;margin-left:.35pt;margin-top:561.25pt;width:280.75pt;height:280.65pt;z-index:-15789568;mso-position-horizontal-relative:page;mso-position-vertical-relative:page" coordorigin="7,11225" coordsize="5615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">
                <v:shape id="docshape2" o:spid="_x0000_s1027" style="position:absolute;left:9;top:11225;width:5613;height:5613;visibility:visible;mso-wrap-style:square;v-text-anchor:top" coordsize="5613,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" path="m,l,5613r5613,l,xe" fillcolor="#efefef" stroked="f">
                  <v:path arrowok="t" o:connecttype="custom" o:connectlocs="0,11225;0,16838;5613,16838;0,11225" o:connectangles="0,0,0,0"/>
                </v:shape>
                <v:shape id="docshape3" o:spid="_x0000_s1028" style="position:absolute;left:7;top:11247;width:2017;height:3700;visibility:visible;mso-wrap-style:square;v-text-anchor:top" coordsize="2017,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" path="m,l,3700,2017,1997,,xe" fillcolor="#d9d9d9" stroked="f">
                  <v:path arrowok="t" o:connecttype="custom" o:connectlocs="0,11247;0,14947;2017,13244;0,11247" o:connectangles="0,0,0,0"/>
                </v:shape>
                <w10:wrap anchorx="page" anchory="page"/>
              </v:group>
            </w:pict>
          </mc:Fallback>
        </mc:AlternateContent>
      </w:r>
      <w:r w:rsidR="0011725D">
        <w:rPr>
          <w:rFonts w:ascii="Times New Roman"/>
          <w:noProof/>
          <w:position w:val="155"/>
          <w:sz w:val="20"/>
        </w:rPr>
        <w:drawing>
          <wp:inline distT="0" distB="0" distL="0" distR="0" wp14:anchorId="3BE47464" wp14:editId="2E3D5857">
            <wp:extent cx="1554871" cy="5943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87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725D">
        <w:rPr>
          <w:rFonts w:ascii="Times New Roman"/>
          <w:position w:val="155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BE47468" wp14:editId="5ECB97D7">
                <wp:extent cx="2921635" cy="1929765"/>
                <wp:effectExtent l="3175" t="3175" r="8890" b="635"/>
                <wp:docPr id="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635" cy="1929765"/>
                          <a:chOff x="0" y="0"/>
                          <a:chExt cx="4601" cy="3039"/>
                        </a:xfrm>
                      </wpg:grpSpPr>
                      <wps:wsp>
                        <wps:cNvPr id="3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01" cy="3039"/>
                          </a:xfrm>
                          <a:custGeom>
                            <a:avLst/>
                            <a:gdLst>
                              <a:gd name="T0" fmla="*/ 4601 w 4601"/>
                              <a:gd name="T1" fmla="*/ 0 h 3039"/>
                              <a:gd name="T2" fmla="*/ 0 w 4601"/>
                              <a:gd name="T3" fmla="*/ 0 h 3039"/>
                              <a:gd name="T4" fmla="*/ 3055 w 4601"/>
                              <a:gd name="T5" fmla="*/ 3039 h 3039"/>
                              <a:gd name="T6" fmla="*/ 4601 w 4601"/>
                              <a:gd name="T7" fmla="*/ 1501 h 3039"/>
                              <a:gd name="T8" fmla="*/ 4601 w 4601"/>
                              <a:gd name="T9" fmla="*/ 0 h 3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01" h="3039">
                                <a:moveTo>
                                  <a:pt x="4601" y="0"/>
                                </a:moveTo>
                                <a:lnTo>
                                  <a:pt x="0" y="0"/>
                                </a:lnTo>
                                <a:lnTo>
                                  <a:pt x="3055" y="3039"/>
                                </a:lnTo>
                                <a:lnTo>
                                  <a:pt x="4601" y="1501"/>
                                </a:lnTo>
                                <a:lnTo>
                                  <a:pt x="4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D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01" cy="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4746A" w14:textId="77777777" w:rsidR="00F34ECC" w:rsidRDefault="0011725D">
                              <w:pPr>
                                <w:spacing w:before="135"/>
                                <w:ind w:left="1694"/>
                                <w:rPr>
                                  <w:rFonts w:ascii="Arial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50"/>
                                </w:rPr>
                                <w:t>Position Description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47468" id="docshapegroup4" o:spid="_x0000_s1026" style="width:230.05pt;height:151.95pt;mso-position-horizontal-relative:char;mso-position-vertical-relative:line" coordsize="4601,3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">
                <v:shape id="docshape5" o:spid="_x0000_s1027" style="position:absolute;width:4601;height:3039;visibility:visible;mso-wrap-style:square;v-text-anchor:top" coordsize="4601,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" path="m4601,l,,3055,3039,4601,1501,4601,xe" fillcolor="#eb1d21" stroked="f">
                  <v:path arrowok="t" o:connecttype="custom" o:connectlocs="4601,0;0,0;3055,3039;4601,1501;4601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width:4601;height:3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BE4746A" w14:textId="77777777" w:rsidR="00F34ECC" w:rsidRDefault="0011725D">
                        <w:pPr>
                          <w:spacing w:before="135"/>
                          <w:ind w:left="1694"/>
                          <w:rPr>
                            <w:rFonts w:ascii="Arial"/>
                            <w:b/>
                            <w:sz w:val="5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50"/>
                          </w:rPr>
                          <w:t>Position 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7"/>
        <w:gridCol w:w="6198"/>
      </w:tblGrid>
      <w:tr w:rsidR="00F34ECC" w14:paraId="3BE47435" w14:textId="77777777">
        <w:trPr>
          <w:trHeight w:val="460"/>
        </w:trPr>
        <w:tc>
          <w:tcPr>
            <w:tcW w:w="2877" w:type="dxa"/>
            <w:shd w:val="clear" w:color="auto" w:fill="D9D9D9"/>
          </w:tcPr>
          <w:p w14:paraId="3BE47433" w14:textId="77777777" w:rsidR="00F34ECC" w:rsidRDefault="0011725D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6198" w:type="dxa"/>
          </w:tcPr>
          <w:p w14:paraId="3BE47434" w14:textId="77777777" w:rsidR="00F34ECC" w:rsidRDefault="0011725D">
            <w:pPr>
              <w:pStyle w:val="TableParagraph"/>
            </w:pPr>
            <w:r>
              <w:t>Business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Partner</w:t>
            </w:r>
          </w:p>
        </w:tc>
      </w:tr>
      <w:tr w:rsidR="00F34ECC" w14:paraId="3BE47438" w14:textId="77777777">
        <w:trPr>
          <w:trHeight w:val="460"/>
        </w:trPr>
        <w:tc>
          <w:tcPr>
            <w:tcW w:w="2877" w:type="dxa"/>
            <w:shd w:val="clear" w:color="auto" w:fill="D9D9D9"/>
          </w:tcPr>
          <w:p w14:paraId="3BE47436" w14:textId="77777777" w:rsidR="00F34ECC" w:rsidRDefault="0011725D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Group/Portfolio</w:t>
            </w:r>
          </w:p>
        </w:tc>
        <w:tc>
          <w:tcPr>
            <w:tcW w:w="6198" w:type="dxa"/>
          </w:tcPr>
          <w:p w14:paraId="3BE47437" w14:textId="77777777" w:rsidR="00F34ECC" w:rsidRDefault="0011725D">
            <w:pPr>
              <w:pStyle w:val="TableParagraph"/>
            </w:pPr>
            <w:r>
              <w:t>Human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</w:tr>
      <w:tr w:rsidR="00F34ECC" w14:paraId="3BE4743B" w14:textId="77777777">
        <w:trPr>
          <w:trHeight w:val="460"/>
        </w:trPr>
        <w:tc>
          <w:tcPr>
            <w:tcW w:w="2877" w:type="dxa"/>
            <w:shd w:val="clear" w:color="auto" w:fill="D9D9D9"/>
          </w:tcPr>
          <w:p w14:paraId="3BE47439" w14:textId="77777777" w:rsidR="00F34ECC" w:rsidRDefault="0011725D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Classification</w:t>
            </w:r>
          </w:p>
        </w:tc>
        <w:tc>
          <w:tcPr>
            <w:tcW w:w="6198" w:type="dxa"/>
          </w:tcPr>
          <w:p w14:paraId="3BE4743A" w14:textId="77777777" w:rsidR="00F34ECC" w:rsidRDefault="0011725D">
            <w:pPr>
              <w:pStyle w:val="TableParagraph"/>
              <w:spacing w:before="1"/>
            </w:pPr>
            <w:r>
              <w:t>HEW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F34ECC" w14:paraId="3BE4743E" w14:textId="77777777">
        <w:trPr>
          <w:trHeight w:val="460"/>
        </w:trPr>
        <w:tc>
          <w:tcPr>
            <w:tcW w:w="2877" w:type="dxa"/>
            <w:shd w:val="clear" w:color="auto" w:fill="D9D9D9"/>
          </w:tcPr>
          <w:p w14:paraId="3BE4743C" w14:textId="77777777" w:rsidR="00F34ECC" w:rsidRDefault="0011725D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Position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6198" w:type="dxa"/>
          </w:tcPr>
          <w:p w14:paraId="3BE4743D" w14:textId="77777777" w:rsidR="00F34ECC" w:rsidRDefault="0011725D">
            <w:pPr>
              <w:pStyle w:val="TableParagraph"/>
            </w:pPr>
            <w:r>
              <w:rPr>
                <w:spacing w:val="-2"/>
              </w:rPr>
              <w:t>Various</w:t>
            </w:r>
          </w:p>
        </w:tc>
      </w:tr>
      <w:tr w:rsidR="00F34ECC" w14:paraId="3BE47441" w14:textId="77777777">
        <w:trPr>
          <w:trHeight w:val="460"/>
        </w:trPr>
        <w:tc>
          <w:tcPr>
            <w:tcW w:w="2877" w:type="dxa"/>
            <w:shd w:val="clear" w:color="auto" w:fill="D9D9D9"/>
          </w:tcPr>
          <w:p w14:paraId="3BE4743F" w14:textId="77777777" w:rsidR="00F34ECC" w:rsidRDefault="0011725D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6198" w:type="dxa"/>
          </w:tcPr>
          <w:p w14:paraId="3BE47440" w14:textId="77777777" w:rsidR="00F34ECC" w:rsidRDefault="0011725D">
            <w:pPr>
              <w:pStyle w:val="TableParagraph"/>
            </w:pPr>
            <w:r>
              <w:t>Senior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Partner</w:t>
            </w:r>
          </w:p>
        </w:tc>
      </w:tr>
      <w:tr w:rsidR="00F34ECC" w14:paraId="3BE47444" w14:textId="77777777">
        <w:trPr>
          <w:trHeight w:val="460"/>
        </w:trPr>
        <w:tc>
          <w:tcPr>
            <w:tcW w:w="2877" w:type="dxa"/>
            <w:shd w:val="clear" w:color="auto" w:fill="D9D9D9"/>
          </w:tcPr>
          <w:p w14:paraId="3BE47442" w14:textId="77777777" w:rsidR="00F34ECC" w:rsidRDefault="0011725D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6198" w:type="dxa"/>
          </w:tcPr>
          <w:p w14:paraId="3BE47443" w14:textId="798CC0D5" w:rsidR="00F34ECC" w:rsidRDefault="006E18BE">
            <w:pPr>
              <w:pStyle w:val="TableParagraph"/>
            </w:pPr>
            <w:r>
              <w:rPr>
                <w:spacing w:val="-2"/>
              </w:rPr>
              <w:t xml:space="preserve">Continuing </w:t>
            </w:r>
            <w:r w:rsidR="00E03B19">
              <w:rPr>
                <w:spacing w:val="-2"/>
              </w:rPr>
              <w:t xml:space="preserve"> </w:t>
            </w:r>
          </w:p>
        </w:tc>
      </w:tr>
    </w:tbl>
    <w:p w14:paraId="3BE47445" w14:textId="77777777" w:rsidR="00F34ECC" w:rsidRDefault="00F34ECC">
      <w:pPr>
        <w:pStyle w:val="BodyText"/>
        <w:ind w:left="0"/>
        <w:jc w:val="left"/>
        <w:rPr>
          <w:rFonts w:ascii="Times New Roman"/>
          <w:sz w:val="20"/>
        </w:rPr>
      </w:pPr>
    </w:p>
    <w:p w14:paraId="3BE47446" w14:textId="77777777" w:rsidR="00F34ECC" w:rsidRDefault="00F34ECC">
      <w:pPr>
        <w:pStyle w:val="BodyText"/>
        <w:spacing w:before="4"/>
        <w:ind w:left="0"/>
        <w:jc w:val="left"/>
        <w:rPr>
          <w:rFonts w:ascii="Times New Roman"/>
          <w:sz w:val="18"/>
        </w:rPr>
      </w:pPr>
    </w:p>
    <w:p w14:paraId="3BE47447" w14:textId="77777777" w:rsidR="00F34ECC" w:rsidRDefault="0011725D">
      <w:pPr>
        <w:pStyle w:val="BodyText"/>
        <w:tabs>
          <w:tab w:val="left" w:pos="1240"/>
        </w:tabs>
        <w:spacing w:before="55"/>
        <w:ind w:left="520"/>
        <w:jc w:val="left"/>
      </w:pPr>
      <w:bookmarkStart w:id="0" w:name="1.0_Position_Purpose"/>
      <w:bookmarkEnd w:id="0"/>
      <w:r>
        <w:rPr>
          <w:color w:val="E10816"/>
          <w:spacing w:val="-5"/>
        </w:rPr>
        <w:t>1.0</w:t>
      </w:r>
      <w:r>
        <w:rPr>
          <w:color w:val="E10816"/>
        </w:rPr>
        <w:tab/>
        <w:t>Position</w:t>
      </w:r>
      <w:r>
        <w:rPr>
          <w:color w:val="E10816"/>
          <w:spacing w:val="-5"/>
        </w:rPr>
        <w:t xml:space="preserve"> </w:t>
      </w:r>
      <w:r>
        <w:rPr>
          <w:color w:val="E10816"/>
          <w:spacing w:val="-2"/>
        </w:rPr>
        <w:t>Purpose</w:t>
      </w:r>
    </w:p>
    <w:p w14:paraId="3BE47448" w14:textId="77777777" w:rsidR="00F34ECC" w:rsidRDefault="00F34ECC">
      <w:pPr>
        <w:pStyle w:val="BodyText"/>
        <w:spacing w:before="7"/>
        <w:ind w:left="0"/>
        <w:jc w:val="left"/>
        <w:rPr>
          <w:sz w:val="18"/>
        </w:rPr>
      </w:pPr>
    </w:p>
    <w:p w14:paraId="3BE47449" w14:textId="251A4054" w:rsidR="00F34ECC" w:rsidRDefault="0011725D">
      <w:pPr>
        <w:pStyle w:val="BodyText"/>
        <w:spacing w:line="278" w:lineRule="auto"/>
        <w:ind w:left="1241" w:right="2288"/>
      </w:pPr>
      <w:bookmarkStart w:id="1" w:name="The_Business_Partner_contributes_to_ensu"/>
      <w:bookmarkEnd w:id="1"/>
      <w:r>
        <w:t>The</w:t>
      </w:r>
      <w:r>
        <w:rPr>
          <w:spacing w:val="-10"/>
        </w:rPr>
        <w:t xml:space="preserve"> </w:t>
      </w:r>
      <w:r w:rsidR="00E23B85">
        <w:rPr>
          <w:spacing w:val="-10"/>
        </w:rPr>
        <w:t xml:space="preserve">HR </w:t>
      </w:r>
      <w:r>
        <w:t>Business</w:t>
      </w:r>
      <w:r>
        <w:rPr>
          <w:spacing w:val="-11"/>
        </w:rPr>
        <w:t xml:space="preserve"> </w:t>
      </w:r>
      <w:r>
        <w:t>Partner</w:t>
      </w:r>
      <w:r>
        <w:rPr>
          <w:spacing w:val="-11"/>
        </w:rPr>
        <w:t xml:space="preserve"> </w:t>
      </w:r>
      <w:r>
        <w:t>contributes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Griffith</w:t>
      </w:r>
      <w:r>
        <w:rPr>
          <w:spacing w:val="-6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capable, </w:t>
      </w:r>
      <w:proofErr w:type="gramStart"/>
      <w:r>
        <w:t>engaged</w:t>
      </w:r>
      <w:proofErr w:type="gramEnd"/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productive</w:t>
      </w:r>
      <w:r>
        <w:rPr>
          <w:spacing w:val="-13"/>
        </w:rPr>
        <w:t xml:space="preserve"> </w:t>
      </w:r>
      <w:r>
        <w:t>workforce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fit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deliver</w:t>
      </w:r>
      <w:r>
        <w:rPr>
          <w:spacing w:val="-12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strategic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operational goals, ensuring compliance with legal, regulatory and industrial requirements.</w:t>
      </w:r>
    </w:p>
    <w:p w14:paraId="3BE4744A" w14:textId="00A208CE" w:rsidR="00F34ECC" w:rsidRDefault="0011725D">
      <w:pPr>
        <w:pStyle w:val="BodyText"/>
        <w:spacing w:before="181" w:line="276" w:lineRule="auto"/>
        <w:ind w:left="1231" w:right="2282"/>
      </w:pPr>
      <w:bookmarkStart w:id="2" w:name="The_Business_Partner_will_apply_their_ex"/>
      <w:bookmarkEnd w:id="2"/>
      <w:r>
        <w:t>The Business Partner will apply their expertise and judgment to identify and evaluate HR risks and opportunities and support evaluating and addressing them. They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HR</w:t>
      </w:r>
      <w:r>
        <w:rPr>
          <w:spacing w:val="-12"/>
        </w:rPr>
        <w:t xml:space="preserve"> </w:t>
      </w:r>
      <w:r>
        <w:t>advice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 w:rsidR="00E23B85">
        <w:t>managers</w:t>
      </w:r>
      <w:r w:rsidR="00B754C5">
        <w:t>,</w:t>
      </w:r>
      <w:r w:rsidR="00E23B85">
        <w:t xml:space="preserve"> supervisors</w:t>
      </w:r>
      <w:r w:rsidR="00B754C5">
        <w:t>,</w:t>
      </w:r>
      <w:r w:rsidR="00E23B85">
        <w:t xml:space="preserve"> and staff</w:t>
      </w:r>
      <w:r>
        <w:t>,</w:t>
      </w:r>
      <w:r>
        <w:rPr>
          <w:spacing w:val="-12"/>
        </w:rPr>
        <w:t xml:space="preserve"> </w:t>
      </w:r>
      <w:r>
        <w:t>negotiating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influencing</w:t>
      </w:r>
      <w:r>
        <w:rPr>
          <w:spacing w:val="-12"/>
        </w:rPr>
        <w:t xml:space="preserve"> </w:t>
      </w:r>
      <w:r>
        <w:t xml:space="preserve">services and solutions. </w:t>
      </w:r>
      <w:r w:rsidRPr="00493922">
        <w:t xml:space="preserve">They will work collaboratively </w:t>
      </w:r>
      <w:r w:rsidR="00E23B85" w:rsidRPr="00493922">
        <w:t xml:space="preserve">with </w:t>
      </w:r>
      <w:r w:rsidRPr="00493922">
        <w:t>Human Resource</w:t>
      </w:r>
      <w:r w:rsidR="00604B99">
        <w:t>s</w:t>
      </w:r>
      <w:r w:rsidR="00E23B85" w:rsidRPr="00493922">
        <w:t>,</w:t>
      </w:r>
      <w:r w:rsidRPr="00493922">
        <w:t xml:space="preserve"> </w:t>
      </w:r>
      <w:r w:rsidR="00B754C5" w:rsidRPr="00493922">
        <w:t xml:space="preserve">Health and </w:t>
      </w:r>
      <w:r w:rsidRPr="00493922">
        <w:t>Safety</w:t>
      </w:r>
      <w:r w:rsidR="00B754C5" w:rsidRPr="00493922">
        <w:t>,</w:t>
      </w:r>
      <w:r w:rsidRPr="00493922">
        <w:t xml:space="preserve"> </w:t>
      </w:r>
      <w:r w:rsidR="00E23B85" w:rsidRPr="00493922">
        <w:t xml:space="preserve">and </w:t>
      </w:r>
      <w:r w:rsidR="00B754C5" w:rsidRPr="00493922">
        <w:t>W</w:t>
      </w:r>
      <w:r w:rsidR="00E23B85" w:rsidRPr="00493922">
        <w:t xml:space="preserve">orkplace </w:t>
      </w:r>
      <w:r w:rsidR="00B754C5" w:rsidRPr="00493922">
        <w:t>R</w:t>
      </w:r>
      <w:r w:rsidR="00E23B85" w:rsidRPr="00493922">
        <w:t xml:space="preserve">elations </w:t>
      </w:r>
      <w:r w:rsidR="00C04B02" w:rsidRPr="00493922">
        <w:t>colleagues to</w:t>
      </w:r>
      <w:r w:rsidRPr="00493922">
        <w:t xml:space="preserve"> </w:t>
      </w:r>
      <w:r w:rsidR="00E23B85" w:rsidRPr="00493922">
        <w:t>support the resolution</w:t>
      </w:r>
      <w:r w:rsidRPr="00493922">
        <w:t xml:space="preserve"> </w:t>
      </w:r>
      <w:r w:rsidR="00E23B85" w:rsidRPr="00493922">
        <w:t xml:space="preserve">of </w:t>
      </w:r>
      <w:r w:rsidRPr="00493922">
        <w:t xml:space="preserve">strategic and operational HR </w:t>
      </w:r>
      <w:r w:rsidR="00E23B85" w:rsidRPr="00493922">
        <w:t>issues</w:t>
      </w:r>
      <w:r w:rsidRPr="00493922">
        <w:t xml:space="preserve"> for their </w:t>
      </w:r>
      <w:r w:rsidR="00E23B85" w:rsidRPr="00493922">
        <w:t>clients</w:t>
      </w:r>
      <w:r w:rsidRPr="00493922">
        <w:t>.</w:t>
      </w:r>
    </w:p>
    <w:p w14:paraId="3BE4744B" w14:textId="77777777" w:rsidR="00F34ECC" w:rsidRDefault="0011725D">
      <w:pPr>
        <w:pStyle w:val="ListParagraph"/>
        <w:numPr>
          <w:ilvl w:val="1"/>
          <w:numId w:val="2"/>
        </w:numPr>
        <w:tabs>
          <w:tab w:val="left" w:pos="1240"/>
          <w:tab w:val="left" w:pos="1241"/>
        </w:tabs>
        <w:spacing w:before="187"/>
      </w:pPr>
      <w:bookmarkStart w:id="3" w:name="2.0_Eligibility_Requirements"/>
      <w:bookmarkEnd w:id="3"/>
      <w:r>
        <w:rPr>
          <w:color w:val="E10816"/>
        </w:rPr>
        <w:t xml:space="preserve">Eligibility </w:t>
      </w:r>
      <w:r>
        <w:rPr>
          <w:color w:val="E10816"/>
          <w:spacing w:val="-2"/>
        </w:rPr>
        <w:t>Requirements</w:t>
      </w:r>
    </w:p>
    <w:p w14:paraId="3BE4744C" w14:textId="77777777" w:rsidR="00F34ECC" w:rsidRDefault="00F34ECC">
      <w:pPr>
        <w:pStyle w:val="BodyText"/>
        <w:spacing w:before="10"/>
        <w:ind w:left="0"/>
        <w:jc w:val="left"/>
        <w:rPr>
          <w:sz w:val="28"/>
        </w:rPr>
      </w:pPr>
    </w:p>
    <w:p w14:paraId="3BE4744D" w14:textId="7FEE80A7" w:rsidR="00F34ECC" w:rsidRDefault="0011725D">
      <w:pPr>
        <w:pStyle w:val="ListParagraph"/>
        <w:numPr>
          <w:ilvl w:val="2"/>
          <w:numId w:val="2"/>
        </w:numPr>
        <w:tabs>
          <w:tab w:val="left" w:pos="1561"/>
        </w:tabs>
        <w:spacing w:line="276" w:lineRule="auto"/>
        <w:ind w:right="2448"/>
      </w:pPr>
      <w:r>
        <w:t>The occupant of this position will hold relevant tertiary qualifications in Human</w:t>
      </w:r>
      <w:r>
        <w:rPr>
          <w:spacing w:val="-11"/>
        </w:rPr>
        <w:t xml:space="preserve"> </w:t>
      </w:r>
      <w:r>
        <w:t>Resources,</w:t>
      </w:r>
      <w:r>
        <w:rPr>
          <w:spacing w:val="-9"/>
        </w:rPr>
        <w:t xml:space="preserve"> </w:t>
      </w:r>
      <w:r>
        <w:t>Business,</w:t>
      </w:r>
      <w:r>
        <w:rPr>
          <w:spacing w:val="-10"/>
        </w:rPr>
        <w:t xml:space="preserve"> </w:t>
      </w:r>
      <w:proofErr w:type="gramStart"/>
      <w:r>
        <w:t>Psychology</w:t>
      </w:r>
      <w:proofErr w:type="gramEnd"/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field with Bachelor level or higher.</w:t>
      </w:r>
    </w:p>
    <w:p w14:paraId="3BE4744E" w14:textId="77777777" w:rsidR="00F34ECC" w:rsidRDefault="0011725D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before="184"/>
      </w:pPr>
      <w:bookmarkStart w:id="4" w:name="3.0_Key_Responsibilities"/>
      <w:bookmarkEnd w:id="4"/>
      <w:r>
        <w:rPr>
          <w:color w:val="E10816"/>
        </w:rPr>
        <w:t xml:space="preserve">Key </w:t>
      </w:r>
      <w:r>
        <w:rPr>
          <w:color w:val="E10816"/>
          <w:spacing w:val="-2"/>
        </w:rPr>
        <w:t>Responsibilities</w:t>
      </w:r>
    </w:p>
    <w:p w14:paraId="3BE4744F" w14:textId="77777777" w:rsidR="00F34ECC" w:rsidRDefault="00F34ECC">
      <w:pPr>
        <w:pStyle w:val="BodyText"/>
        <w:ind w:left="0"/>
        <w:jc w:val="left"/>
      </w:pPr>
    </w:p>
    <w:p w14:paraId="3BE47451" w14:textId="33815D07" w:rsidR="00F34ECC" w:rsidRDefault="00E23B85" w:rsidP="00C04B02">
      <w:pPr>
        <w:pStyle w:val="ListParagraph"/>
        <w:numPr>
          <w:ilvl w:val="2"/>
          <w:numId w:val="1"/>
        </w:numPr>
        <w:tabs>
          <w:tab w:val="left" w:pos="1561"/>
        </w:tabs>
        <w:spacing w:before="112" w:line="276" w:lineRule="auto"/>
        <w:ind w:right="2461"/>
      </w:pPr>
      <w:r w:rsidRPr="00C04B02">
        <w:t xml:space="preserve">Reporting to </w:t>
      </w:r>
      <w:r w:rsidR="0011725D">
        <w:t>the</w:t>
      </w:r>
      <w:r w:rsidR="0011725D" w:rsidRPr="00C04B02">
        <w:t xml:space="preserve"> </w:t>
      </w:r>
      <w:r w:rsidR="00492543">
        <w:t>Senior</w:t>
      </w:r>
      <w:r w:rsidR="0011725D" w:rsidRPr="00C04B02">
        <w:t xml:space="preserve"> </w:t>
      </w:r>
      <w:r w:rsidRPr="00C04B02">
        <w:t xml:space="preserve">HR </w:t>
      </w:r>
      <w:r w:rsidR="0011725D">
        <w:t>Business</w:t>
      </w:r>
      <w:r w:rsidR="0011725D" w:rsidRPr="00C04B02">
        <w:t xml:space="preserve"> </w:t>
      </w:r>
      <w:r w:rsidR="0011725D">
        <w:t>Partner</w:t>
      </w:r>
      <w:r w:rsidR="00D834D3">
        <w:t>,</w:t>
      </w:r>
      <w:r w:rsidR="0011725D" w:rsidRPr="00C04B02">
        <w:t xml:space="preserve"> </w:t>
      </w:r>
      <w:r w:rsidRPr="006F290E">
        <w:t>deliver excellence in HR operational advice</w:t>
      </w:r>
      <w:r w:rsidR="00B754C5" w:rsidRPr="006F290E">
        <w:t xml:space="preserve"> and </w:t>
      </w:r>
      <w:r w:rsidR="00AB0BDC" w:rsidRPr="006F290E">
        <w:t>support</w:t>
      </w:r>
      <w:r w:rsidR="00781A2E" w:rsidRPr="006F290E">
        <w:t>,</w:t>
      </w:r>
      <w:r w:rsidRPr="006F290E">
        <w:t xml:space="preserve"> and make a significant contribution to supporting the implementation of HR strategic initiatives.</w:t>
      </w:r>
      <w:r w:rsidRPr="00C04B02">
        <w:t xml:space="preserve">  </w:t>
      </w:r>
    </w:p>
    <w:p w14:paraId="0504D4D7" w14:textId="77777777" w:rsidR="00154449" w:rsidRDefault="00154449" w:rsidP="00154449">
      <w:pPr>
        <w:pStyle w:val="ListParagraph"/>
        <w:numPr>
          <w:ilvl w:val="2"/>
          <w:numId w:val="1"/>
        </w:numPr>
        <w:tabs>
          <w:tab w:val="left" w:pos="1561"/>
        </w:tabs>
        <w:spacing w:before="112" w:line="276" w:lineRule="auto"/>
        <w:ind w:right="2461"/>
      </w:pPr>
      <w:r>
        <w:t>Partner with leadership and stakeholders</w:t>
      </w:r>
      <w:r w:rsidRPr="00C04B02">
        <w:t xml:space="preserve"> </w:t>
      </w:r>
      <w:r>
        <w:t>to</w:t>
      </w:r>
      <w:r w:rsidRPr="00C04B02">
        <w:t xml:space="preserve"> </w:t>
      </w:r>
      <w:r>
        <w:t>deliver</w:t>
      </w:r>
      <w:r w:rsidRPr="00C04B02">
        <w:t xml:space="preserve"> </w:t>
      </w:r>
      <w:r>
        <w:t>on</w:t>
      </w:r>
      <w:r w:rsidRPr="00C04B02">
        <w:t xml:space="preserve"> </w:t>
      </w:r>
      <w:r>
        <w:t xml:space="preserve">HR plans and activities that are aligned with the University’s strategic agenda and will position the business areas to deliver on their objectives. </w:t>
      </w:r>
    </w:p>
    <w:p w14:paraId="771D98BE" w14:textId="29D18085" w:rsidR="00AB0BDC" w:rsidRPr="00C04B02" w:rsidRDefault="00AB0BDC" w:rsidP="00C04B02">
      <w:pPr>
        <w:pStyle w:val="ListParagraph"/>
        <w:numPr>
          <w:ilvl w:val="2"/>
          <w:numId w:val="1"/>
        </w:numPr>
        <w:tabs>
          <w:tab w:val="left" w:pos="1561"/>
        </w:tabs>
        <w:spacing w:before="112" w:line="276" w:lineRule="auto"/>
        <w:ind w:right="2461"/>
      </w:pPr>
      <w:r w:rsidRPr="00C04B02">
        <w:t xml:space="preserve">Support the delivery of a range </w:t>
      </w:r>
      <w:r w:rsidRPr="009922AC">
        <w:t xml:space="preserve">of HR initiatives </w:t>
      </w:r>
      <w:r w:rsidR="00CF13FE" w:rsidRPr="009922AC">
        <w:t>an</w:t>
      </w:r>
      <w:r w:rsidR="00CF13FE">
        <w:t xml:space="preserve">d </w:t>
      </w:r>
      <w:r w:rsidR="00CC7832">
        <w:t xml:space="preserve">Academic </w:t>
      </w:r>
      <w:r w:rsidR="00CF13FE">
        <w:t xml:space="preserve">processes </w:t>
      </w:r>
      <w:r w:rsidRPr="00C04B02">
        <w:t xml:space="preserve">which may include, </w:t>
      </w:r>
      <w:r w:rsidR="009922AC">
        <w:t>job analysis and organisational design</w:t>
      </w:r>
      <w:r w:rsidR="00E03074">
        <w:t>, change management</w:t>
      </w:r>
      <w:r w:rsidR="009922AC">
        <w:t>.</w:t>
      </w:r>
    </w:p>
    <w:p w14:paraId="5A954FD7" w14:textId="2B8B4377" w:rsidR="002344C1" w:rsidRDefault="00A132A7" w:rsidP="00C04B02">
      <w:pPr>
        <w:pStyle w:val="ListParagraph"/>
        <w:numPr>
          <w:ilvl w:val="2"/>
          <w:numId w:val="1"/>
        </w:numPr>
        <w:tabs>
          <w:tab w:val="left" w:pos="1561"/>
        </w:tabs>
        <w:spacing w:before="112" w:line="276" w:lineRule="auto"/>
        <w:ind w:right="2461"/>
      </w:pPr>
      <w:r>
        <w:t>Provide advice and s</w:t>
      </w:r>
      <w:r w:rsidR="002344C1">
        <w:t xml:space="preserve">upport in relation to case management issues including employee misconduct matters and investigations, and performance </w:t>
      </w:r>
      <w:r w:rsidR="00120F29">
        <w:t>management.</w:t>
      </w:r>
      <w:r w:rsidR="002344C1">
        <w:t xml:space="preserve"> </w:t>
      </w:r>
    </w:p>
    <w:p w14:paraId="6F342E6B" w14:textId="77777777" w:rsidR="00C04B02" w:rsidRDefault="00C04B02" w:rsidP="00C04B02">
      <w:pPr>
        <w:tabs>
          <w:tab w:val="left" w:pos="1561"/>
        </w:tabs>
        <w:spacing w:before="112" w:line="276" w:lineRule="auto"/>
        <w:ind w:right="2461"/>
      </w:pPr>
    </w:p>
    <w:p w14:paraId="16A9AC1E" w14:textId="77777777" w:rsidR="00C04B02" w:rsidRDefault="00C04B02" w:rsidP="00C04B02">
      <w:pPr>
        <w:pStyle w:val="ListParagraph"/>
        <w:tabs>
          <w:tab w:val="left" w:pos="1561"/>
        </w:tabs>
        <w:spacing w:before="112" w:line="276" w:lineRule="auto"/>
        <w:ind w:right="2461" w:firstLine="0"/>
      </w:pPr>
    </w:p>
    <w:p w14:paraId="063CA7A2" w14:textId="77777777" w:rsidR="00C04B02" w:rsidRDefault="00C04B02" w:rsidP="00C04B02">
      <w:pPr>
        <w:pStyle w:val="ListParagraph"/>
      </w:pPr>
    </w:p>
    <w:p w14:paraId="317DBA18" w14:textId="77777777" w:rsidR="00C04B02" w:rsidRDefault="00C04B02" w:rsidP="00C04B02">
      <w:pPr>
        <w:pStyle w:val="ListParagraph"/>
        <w:tabs>
          <w:tab w:val="left" w:pos="1561"/>
        </w:tabs>
        <w:spacing w:before="112" w:line="276" w:lineRule="auto"/>
        <w:ind w:right="2461" w:firstLine="0"/>
      </w:pPr>
    </w:p>
    <w:p w14:paraId="531329F9" w14:textId="1E57B8E8" w:rsidR="00857458" w:rsidRDefault="00C728A6" w:rsidP="00C04B02">
      <w:pPr>
        <w:pStyle w:val="ListParagraph"/>
        <w:numPr>
          <w:ilvl w:val="2"/>
          <w:numId w:val="1"/>
        </w:numPr>
        <w:tabs>
          <w:tab w:val="left" w:pos="1561"/>
        </w:tabs>
        <w:spacing w:before="112" w:line="276" w:lineRule="auto"/>
        <w:ind w:right="2461"/>
        <w:rPr>
          <w:rStyle w:val="ui-provider"/>
        </w:rPr>
      </w:pPr>
      <w:r>
        <w:rPr>
          <w:rStyle w:val="ui-provider"/>
        </w:rPr>
        <w:t>Collaborate</w:t>
      </w:r>
      <w:r w:rsidR="00DF2C17">
        <w:rPr>
          <w:rStyle w:val="ui-provider"/>
        </w:rPr>
        <w:t xml:space="preserve"> with leadership to </w:t>
      </w:r>
      <w:r w:rsidR="002A5E48">
        <w:rPr>
          <w:rStyle w:val="ui-provider"/>
        </w:rPr>
        <w:t>maintain the integrity of the staffing profile, as well as undertake</w:t>
      </w:r>
      <w:r w:rsidR="00DF2C17">
        <w:rPr>
          <w:rStyle w:val="ui-provider"/>
        </w:rPr>
        <w:t xml:space="preserve"> workforce planning, succession planning and talent management strategies.</w:t>
      </w:r>
    </w:p>
    <w:p w14:paraId="2C025B20" w14:textId="77777777" w:rsidR="00FC1CD1" w:rsidRDefault="00FC1CD1" w:rsidP="00FC1CD1">
      <w:pPr>
        <w:pStyle w:val="ListParagraph"/>
        <w:numPr>
          <w:ilvl w:val="2"/>
          <w:numId w:val="1"/>
        </w:numPr>
        <w:tabs>
          <w:tab w:val="left" w:pos="1561"/>
        </w:tabs>
        <w:spacing w:before="112" w:line="276" w:lineRule="auto"/>
        <w:ind w:right="2461"/>
      </w:pPr>
      <w:r>
        <w:t>Provide coaching and assistance to supervisors and managers on HR policies, practices,</w:t>
      </w:r>
      <w:r w:rsidRPr="00C04B02">
        <w:t xml:space="preserve"> </w:t>
      </w:r>
      <w:r>
        <w:t>plans,</w:t>
      </w:r>
      <w:r w:rsidRPr="00C04B02">
        <w:t xml:space="preserve"> </w:t>
      </w:r>
      <w:r>
        <w:t>risks</w:t>
      </w:r>
      <w:r w:rsidRPr="00C04B02">
        <w:t xml:space="preserve"> </w:t>
      </w:r>
      <w:r>
        <w:t>and/or</w:t>
      </w:r>
      <w:r w:rsidRPr="00C04B02">
        <w:t xml:space="preserve"> </w:t>
      </w:r>
      <w:r>
        <w:t>issues,</w:t>
      </w:r>
      <w:r w:rsidRPr="00C04B02">
        <w:t xml:space="preserve"> </w:t>
      </w:r>
      <w:r>
        <w:t>supporting</w:t>
      </w:r>
      <w:r w:rsidRPr="00C04B02">
        <w:t xml:space="preserve"> </w:t>
      </w:r>
      <w:r>
        <w:t>them</w:t>
      </w:r>
      <w:r w:rsidRPr="00C04B02">
        <w:t xml:space="preserve"> </w:t>
      </w:r>
      <w:r>
        <w:t>to</w:t>
      </w:r>
      <w:r w:rsidRPr="00C04B02">
        <w:t xml:space="preserve"> </w:t>
      </w:r>
      <w:r>
        <w:t>make</w:t>
      </w:r>
      <w:r w:rsidRPr="00C04B02">
        <w:t xml:space="preserve"> </w:t>
      </w:r>
      <w:r>
        <w:t>effective decisions and to mitigate workplace risk.</w:t>
      </w:r>
    </w:p>
    <w:p w14:paraId="6D00BFA3" w14:textId="48CB7ECB" w:rsidR="00781A2E" w:rsidRPr="00C04B02" w:rsidRDefault="00781A2E" w:rsidP="00C04B02">
      <w:pPr>
        <w:pStyle w:val="ListParagraph"/>
        <w:numPr>
          <w:ilvl w:val="2"/>
          <w:numId w:val="1"/>
        </w:numPr>
        <w:tabs>
          <w:tab w:val="left" w:pos="1561"/>
        </w:tabs>
        <w:spacing w:before="112" w:line="276" w:lineRule="auto"/>
        <w:ind w:right="2461"/>
      </w:pPr>
      <w:r>
        <w:t xml:space="preserve">Use data analytics to identify and mitigate workforce risks and opportunities </w:t>
      </w:r>
      <w:r w:rsidR="00C95C9A">
        <w:t xml:space="preserve">to </w:t>
      </w:r>
      <w:r>
        <w:t xml:space="preserve">contribute to an insight-driven and evidence-based HR </w:t>
      </w:r>
      <w:r w:rsidRPr="00C04B02">
        <w:t>approach.</w:t>
      </w:r>
    </w:p>
    <w:p w14:paraId="50C4CF38" w14:textId="77777777" w:rsidR="00781A2E" w:rsidRDefault="00781A2E" w:rsidP="00C04B02">
      <w:pPr>
        <w:pStyle w:val="ListParagraph"/>
        <w:numPr>
          <w:ilvl w:val="2"/>
          <w:numId w:val="1"/>
        </w:numPr>
        <w:tabs>
          <w:tab w:val="left" w:pos="1561"/>
        </w:tabs>
        <w:spacing w:before="112" w:line="276" w:lineRule="auto"/>
        <w:ind w:right="2461"/>
      </w:pPr>
      <w:r>
        <w:t xml:space="preserve">Consult, negotiate and influence others, managing competing priorities, </w:t>
      </w:r>
      <w:proofErr w:type="gramStart"/>
      <w:r>
        <w:t>initiatives</w:t>
      </w:r>
      <w:proofErr w:type="gramEnd"/>
      <w:r>
        <w:t xml:space="preserve"> and customer expectations effectively.</w:t>
      </w:r>
    </w:p>
    <w:p w14:paraId="40AC7182" w14:textId="5220426F" w:rsidR="00781A2E" w:rsidRDefault="00781A2E" w:rsidP="00C04B02">
      <w:pPr>
        <w:pStyle w:val="ListParagraph"/>
        <w:numPr>
          <w:ilvl w:val="2"/>
          <w:numId w:val="1"/>
        </w:numPr>
        <w:tabs>
          <w:tab w:val="left" w:pos="1561"/>
        </w:tabs>
        <w:spacing w:before="112" w:line="276" w:lineRule="auto"/>
        <w:ind w:right="2461"/>
      </w:pPr>
      <w:r>
        <w:t xml:space="preserve">Ensure compliance with relevant legislation and University policies and procedures, including diversity and safety and </w:t>
      </w:r>
      <w:r w:rsidR="00284E18">
        <w:t>model</w:t>
      </w:r>
      <w:r>
        <w:t xml:space="preserve"> </w:t>
      </w:r>
      <w:r w:rsidR="00284E18">
        <w:t>best</w:t>
      </w:r>
      <w:r>
        <w:t xml:space="preserve"> practice.</w:t>
      </w:r>
    </w:p>
    <w:p w14:paraId="328B4C56" w14:textId="77777777" w:rsidR="00781A2E" w:rsidRDefault="00781A2E" w:rsidP="00C04B02">
      <w:pPr>
        <w:pStyle w:val="ListParagraph"/>
        <w:numPr>
          <w:ilvl w:val="2"/>
          <w:numId w:val="1"/>
        </w:numPr>
        <w:tabs>
          <w:tab w:val="left" w:pos="1561"/>
        </w:tabs>
        <w:spacing w:before="112" w:line="276" w:lineRule="auto"/>
        <w:ind w:right="2461"/>
      </w:pPr>
      <w:r>
        <w:t>Be a leading example of the principles and values embodied in the University’s Code of</w:t>
      </w:r>
      <w:r w:rsidRPr="00C04B02">
        <w:t xml:space="preserve"> </w:t>
      </w:r>
      <w:r>
        <w:t>Conduct,</w:t>
      </w:r>
      <w:r w:rsidRPr="00C04B02">
        <w:t xml:space="preserve"> </w:t>
      </w:r>
      <w:r>
        <w:t>and behave,</w:t>
      </w:r>
      <w:r w:rsidRPr="00C04B02">
        <w:t xml:space="preserve"> </w:t>
      </w:r>
      <w:proofErr w:type="gramStart"/>
      <w:r>
        <w:t>act</w:t>
      </w:r>
      <w:proofErr w:type="gramEnd"/>
      <w:r w:rsidRPr="00C04B02">
        <w:t xml:space="preserve"> </w:t>
      </w:r>
      <w:r>
        <w:t>and communicate at all</w:t>
      </w:r>
      <w:r w:rsidRPr="00C04B02">
        <w:t xml:space="preserve"> </w:t>
      </w:r>
      <w:r>
        <w:t>times to reflect fairness, ethics and professionalism.</w:t>
      </w:r>
    </w:p>
    <w:p w14:paraId="3BE47454" w14:textId="77777777" w:rsidR="00F34ECC" w:rsidRDefault="00F34ECC" w:rsidP="00C04B02">
      <w:pPr>
        <w:pStyle w:val="ListParagraph"/>
        <w:tabs>
          <w:tab w:val="left" w:pos="1561"/>
        </w:tabs>
        <w:spacing w:before="112" w:line="276" w:lineRule="auto"/>
        <w:ind w:right="2461" w:firstLine="0"/>
        <w:sectPr w:rsidR="00F34ECC">
          <w:type w:val="continuous"/>
          <w:pgSz w:w="11910" w:h="16840"/>
          <w:pgMar w:top="20" w:right="0" w:bottom="0" w:left="1060" w:header="720" w:footer="720" w:gutter="0"/>
          <w:cols w:space="720"/>
        </w:sectPr>
      </w:pPr>
    </w:p>
    <w:p w14:paraId="3BE4745E" w14:textId="77777777" w:rsidR="00F34ECC" w:rsidRDefault="0011725D">
      <w:pPr>
        <w:pStyle w:val="BodyText"/>
        <w:tabs>
          <w:tab w:val="left" w:pos="1240"/>
        </w:tabs>
        <w:spacing w:before="188"/>
        <w:ind w:left="520"/>
        <w:jc w:val="left"/>
      </w:pPr>
      <w:bookmarkStart w:id="5" w:name="4.0_Key_Capabilities"/>
      <w:bookmarkEnd w:id="5"/>
      <w:r>
        <w:rPr>
          <w:color w:val="E10816"/>
          <w:spacing w:val="-5"/>
        </w:rPr>
        <w:lastRenderedPageBreak/>
        <w:t>4.0</w:t>
      </w:r>
      <w:r>
        <w:rPr>
          <w:color w:val="E10816"/>
        </w:rPr>
        <w:tab/>
        <w:t xml:space="preserve">Key </w:t>
      </w:r>
      <w:r>
        <w:rPr>
          <w:color w:val="E10816"/>
          <w:spacing w:val="-2"/>
        </w:rPr>
        <w:t>Capabilities</w:t>
      </w:r>
    </w:p>
    <w:p w14:paraId="3BE4745F" w14:textId="77777777" w:rsidR="00F34ECC" w:rsidRDefault="00F34ECC">
      <w:pPr>
        <w:pStyle w:val="BodyText"/>
        <w:spacing w:before="9"/>
        <w:ind w:left="0"/>
        <w:jc w:val="left"/>
        <w:rPr>
          <w:sz w:val="28"/>
        </w:rPr>
      </w:pPr>
    </w:p>
    <w:p w14:paraId="3BE47460" w14:textId="77777777" w:rsidR="00F34ECC" w:rsidRDefault="0011725D">
      <w:pPr>
        <w:pStyle w:val="BodyText"/>
        <w:spacing w:line="276" w:lineRule="auto"/>
        <w:ind w:left="1261" w:right="2449"/>
      </w:pPr>
      <w:r>
        <w:t xml:space="preserve">Griffith University identifies the attributes of resilience, flexibility, creativity, digital </w:t>
      </w:r>
      <w:proofErr w:type="gramStart"/>
      <w:r>
        <w:t>literacy</w:t>
      </w:r>
      <w:proofErr w:type="gramEnd"/>
      <w:r>
        <w:t xml:space="preserve"> and entrepreneurship as critical to our</w:t>
      </w:r>
      <w:r>
        <w:rPr>
          <w:spacing w:val="-1"/>
        </w:rPr>
        <w:t xml:space="preserve"> </w:t>
      </w:r>
      <w:r>
        <w:t>graduates’ success, in the rapidly</w:t>
      </w:r>
      <w:r>
        <w:rPr>
          <w:spacing w:val="-3"/>
        </w:rPr>
        <w:t xml:space="preserve"> </w:t>
      </w:r>
      <w:r>
        <w:t>changing</w:t>
      </w:r>
      <w:r>
        <w:rPr>
          <w:spacing w:val="-2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Griffith</w:t>
      </w:r>
      <w:r>
        <w:rPr>
          <w:spacing w:val="-4"/>
        </w:rPr>
        <w:t xml:space="preserve"> </w:t>
      </w:r>
      <w:r>
        <w:t>University Capability Development Framework to provide a common language of some of the</w:t>
      </w:r>
      <w:r>
        <w:rPr>
          <w:spacing w:val="-8"/>
        </w:rPr>
        <w:t xml:space="preserve"> </w:t>
      </w:r>
      <w:r>
        <w:t>non-technical</w:t>
      </w:r>
      <w:r>
        <w:rPr>
          <w:spacing w:val="-8"/>
        </w:rPr>
        <w:t xml:space="preserve"> </w:t>
      </w:r>
      <w:r>
        <w:t>organisation</w:t>
      </w:r>
      <w:r>
        <w:rPr>
          <w:spacing w:val="-8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thrive</w:t>
      </w:r>
      <w:r>
        <w:rPr>
          <w:spacing w:val="-7"/>
        </w:rPr>
        <w:t xml:space="preserve"> </w:t>
      </w:r>
      <w:r>
        <w:t>now</w:t>
      </w:r>
      <w:r>
        <w:rPr>
          <w:spacing w:val="-9"/>
        </w:rPr>
        <w:t xml:space="preserve"> </w:t>
      </w:r>
      <w:r>
        <w:t>and into the future. The Capability Development Framework will assist you to understand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skill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non-technical</w:t>
      </w:r>
      <w:r>
        <w:rPr>
          <w:spacing w:val="-7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critical skill domains that are increasingly important in a changing workplace context.</w:t>
      </w:r>
    </w:p>
    <w:p w14:paraId="3BE47461" w14:textId="77777777" w:rsidR="00F34ECC" w:rsidRDefault="00F34ECC">
      <w:pPr>
        <w:pStyle w:val="BodyText"/>
        <w:spacing w:before="5"/>
        <w:ind w:left="0"/>
        <w:jc w:val="left"/>
        <w:rPr>
          <w:sz w:val="25"/>
        </w:rPr>
      </w:pPr>
    </w:p>
    <w:p w14:paraId="3BE47462" w14:textId="77777777" w:rsidR="00F34ECC" w:rsidRDefault="0011725D">
      <w:pPr>
        <w:pStyle w:val="BodyText"/>
        <w:spacing w:line="276" w:lineRule="auto"/>
        <w:ind w:left="1261" w:right="2457"/>
      </w:pPr>
      <w:r>
        <w:t xml:space="preserve">To read about some of the non-technical organisation skills for this position, please see the Leads Self section of our </w:t>
      </w:r>
      <w:hyperlink r:id="rId10" w:anchor="framework">
        <w:r>
          <w:rPr>
            <w:color w:val="1154CC"/>
            <w:u w:val="single" w:color="1154CC"/>
          </w:rPr>
          <w:t>Capability Development Framework.</w:t>
        </w:r>
      </w:hyperlink>
    </w:p>
    <w:sectPr w:rsidR="00F34ECC">
      <w:pgSz w:w="11910" w:h="16840"/>
      <w:pgMar w:top="1400" w:right="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C21F8"/>
    <w:multiLevelType w:val="multilevel"/>
    <w:tmpl w:val="505EB332"/>
    <w:lvl w:ilvl="0">
      <w:start w:val="2"/>
      <w:numFmt w:val="decimal"/>
      <w:lvlText w:val="%1"/>
      <w:lvlJc w:val="left"/>
      <w:pPr>
        <w:ind w:left="1241" w:hanging="721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1241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E10816"/>
        <w:spacing w:val="-2"/>
        <w:w w:val="100"/>
        <w:sz w:val="22"/>
        <w:szCs w:val="22"/>
        <w:lang w:val="en-GB" w:eastAsia="en-US" w:bidi="ar-SA"/>
      </w:rPr>
    </w:lvl>
    <w:lvl w:ilvl="2">
      <w:numFmt w:val="bullet"/>
      <w:lvlText w:val=""/>
      <w:lvlJc w:val="left"/>
      <w:pPr>
        <w:ind w:left="15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0816"/>
        <w:w w:val="97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55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86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75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8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46492ECC"/>
    <w:multiLevelType w:val="multilevel"/>
    <w:tmpl w:val="35705D86"/>
    <w:lvl w:ilvl="0">
      <w:start w:val="3"/>
      <w:numFmt w:val="decimal"/>
      <w:lvlText w:val="%1"/>
      <w:lvlJc w:val="left"/>
      <w:pPr>
        <w:ind w:left="1241" w:hanging="721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1241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E10816"/>
        <w:spacing w:val="-2"/>
        <w:w w:val="100"/>
        <w:sz w:val="22"/>
        <w:szCs w:val="22"/>
        <w:lang w:val="en-GB" w:eastAsia="en-US" w:bidi="ar-SA"/>
      </w:rPr>
    </w:lvl>
    <w:lvl w:ilvl="2">
      <w:numFmt w:val="bullet"/>
      <w:lvlText w:val=""/>
      <w:lvlJc w:val="left"/>
      <w:pPr>
        <w:ind w:left="15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0816"/>
        <w:w w:val="97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55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86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75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81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64C11D2E"/>
    <w:multiLevelType w:val="hybridMultilevel"/>
    <w:tmpl w:val="8544F922"/>
    <w:lvl w:ilvl="0" w:tplc="0C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num w:numId="1" w16cid:durableId="887567407">
    <w:abstractNumId w:val="1"/>
  </w:num>
  <w:num w:numId="2" w16cid:durableId="2045864626">
    <w:abstractNumId w:val="0"/>
  </w:num>
  <w:num w:numId="3" w16cid:durableId="933168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CC"/>
    <w:rsid w:val="000B6FDB"/>
    <w:rsid w:val="0011725D"/>
    <w:rsid w:val="00120F29"/>
    <w:rsid w:val="00154449"/>
    <w:rsid w:val="001E7C39"/>
    <w:rsid w:val="002344C1"/>
    <w:rsid w:val="00284E18"/>
    <w:rsid w:val="002A5E48"/>
    <w:rsid w:val="002F4BF6"/>
    <w:rsid w:val="003A2EF9"/>
    <w:rsid w:val="003C0044"/>
    <w:rsid w:val="00492543"/>
    <w:rsid w:val="00493922"/>
    <w:rsid w:val="004C03B4"/>
    <w:rsid w:val="004F6EC5"/>
    <w:rsid w:val="00590247"/>
    <w:rsid w:val="00604B99"/>
    <w:rsid w:val="006854E2"/>
    <w:rsid w:val="006E18BE"/>
    <w:rsid w:val="006F290E"/>
    <w:rsid w:val="00781A2E"/>
    <w:rsid w:val="007D21F5"/>
    <w:rsid w:val="008431D4"/>
    <w:rsid w:val="00857458"/>
    <w:rsid w:val="009402D4"/>
    <w:rsid w:val="009922AC"/>
    <w:rsid w:val="009E0E4D"/>
    <w:rsid w:val="00A132A7"/>
    <w:rsid w:val="00AB0BDC"/>
    <w:rsid w:val="00AD719B"/>
    <w:rsid w:val="00B153BF"/>
    <w:rsid w:val="00B754C5"/>
    <w:rsid w:val="00C04B02"/>
    <w:rsid w:val="00C334BB"/>
    <w:rsid w:val="00C728A6"/>
    <w:rsid w:val="00C95C9A"/>
    <w:rsid w:val="00CC7832"/>
    <w:rsid w:val="00CF13FE"/>
    <w:rsid w:val="00D834D3"/>
    <w:rsid w:val="00DF2C17"/>
    <w:rsid w:val="00E03074"/>
    <w:rsid w:val="00E03B19"/>
    <w:rsid w:val="00E23B85"/>
    <w:rsid w:val="00F34ECC"/>
    <w:rsid w:val="00F46BA4"/>
    <w:rsid w:val="00F7222C"/>
    <w:rsid w:val="00FC1CD1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7432"/>
  <w15:docId w15:val="{DA151E48-1DBB-44F8-984F-8E776A85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1"/>
      <w:jc w:val="both"/>
    </w:pPr>
  </w:style>
  <w:style w:type="paragraph" w:styleId="ListParagraph">
    <w:name w:val="List Paragraph"/>
    <w:basedOn w:val="Normal"/>
    <w:uiPriority w:val="1"/>
    <w:qFormat/>
    <w:pPr>
      <w:ind w:left="15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Revision">
    <w:name w:val="Revision"/>
    <w:hidden/>
    <w:uiPriority w:val="99"/>
    <w:semiHidden/>
    <w:rsid w:val="00E23B85"/>
    <w:pPr>
      <w:widowControl/>
      <w:autoSpaceDE/>
      <w:autoSpaceDN/>
    </w:pPr>
    <w:rPr>
      <w:rFonts w:ascii="Calibri" w:eastAsia="Calibri" w:hAnsi="Calibri" w:cs="Calibr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6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F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FDB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FDB"/>
    <w:rPr>
      <w:rFonts w:ascii="Calibri" w:eastAsia="Calibri" w:hAnsi="Calibri" w:cs="Calibri"/>
      <w:b/>
      <w:bCs/>
      <w:sz w:val="20"/>
      <w:szCs w:val="20"/>
      <w:lang w:val="en-GB"/>
    </w:rPr>
  </w:style>
  <w:style w:type="character" w:customStyle="1" w:styleId="ui-provider">
    <w:name w:val="ui-provider"/>
    <w:basedOn w:val="DefaultParagraphFont"/>
    <w:rsid w:val="00DF2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intranet.secure.griffith.edu.au/employment/learning-and-development/specialist-programs/capability-development-framewor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dce382-fa8a-4ad1-b6eb-78361b9a20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6CFE73FD4774B9FAC0A7DD55247E2" ma:contentTypeVersion="14" ma:contentTypeDescription="Create a new document." ma:contentTypeScope="" ma:versionID="7d121b3a3f9072612815801c7ee0e4fb">
  <xsd:schema xmlns:xsd="http://www.w3.org/2001/XMLSchema" xmlns:xs="http://www.w3.org/2001/XMLSchema" xmlns:p="http://schemas.microsoft.com/office/2006/metadata/properties" xmlns:ns3="87dce382-fa8a-4ad1-b6eb-78361b9a20c9" xmlns:ns4="9a80ad8d-f85b-49a3-999b-9f978886f342" targetNamespace="http://schemas.microsoft.com/office/2006/metadata/properties" ma:root="true" ma:fieldsID="39212064209324a76a6b4ed3ad706d4b" ns3:_="" ns4:_="">
    <xsd:import namespace="87dce382-fa8a-4ad1-b6eb-78361b9a20c9"/>
    <xsd:import namespace="9a80ad8d-f85b-49a3-999b-9f978886f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e382-fa8a-4ad1-b6eb-78361b9a2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0ad8d-f85b-49a3-999b-9f978886f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2F46D-393F-4EB9-9F8E-FB455602364E}">
  <ds:schemaRefs>
    <ds:schemaRef ds:uri="http://schemas.microsoft.com/office/2006/metadata/properties"/>
    <ds:schemaRef ds:uri="http://schemas.microsoft.com/office/infopath/2007/PartnerControls"/>
    <ds:schemaRef ds:uri="87dce382-fa8a-4ad1-b6eb-78361b9a20c9"/>
  </ds:schemaRefs>
</ds:datastoreItem>
</file>

<file path=customXml/itemProps2.xml><?xml version="1.0" encoding="utf-8"?>
<ds:datastoreItem xmlns:ds="http://schemas.openxmlformats.org/officeDocument/2006/customXml" ds:itemID="{D17FBEF7-BC85-457C-AC70-E77BFF6B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ce382-fa8a-4ad1-b6eb-78361b9a20c9"/>
    <ds:schemaRef ds:uri="9a80ad8d-f85b-49a3-999b-9f978886f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34405-F875-4901-A9C0-7858B34873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9125EA-F85E-4D9A-A920-EBA0F65D17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Dekker</dc:creator>
  <cp:lastModifiedBy>Mitchell Cox</cp:lastModifiedBy>
  <cp:revision>2</cp:revision>
  <cp:lastPrinted>2023-04-17T23:08:00Z</cp:lastPrinted>
  <dcterms:created xsi:type="dcterms:W3CDTF">2023-06-14T23:05:00Z</dcterms:created>
  <dcterms:modified xsi:type="dcterms:W3CDTF">2023-06-14T23:05:00Z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2022-11-02T00:00:00Z</vt:filetime>
  </property>
  <property fmtid="{D5CDD505-2E9C-101B-9397-08002B2CF9AE}" pid="5" name="MSIP_Label_adaa4be3-f650-4692-881a-64ae220cbceb_Enabled">
    <vt:lpwstr>true</vt:lpwstr>
  </property>
  <property fmtid="{D5CDD505-2E9C-101B-9397-08002B2CF9AE}" pid="6" name="MSIP_Label_adaa4be3-f650-4692-881a-64ae220cbceb_SetDate">
    <vt:lpwstr>2023-02-23T23:49:26Z</vt:lpwstr>
  </property>
  <property fmtid="{D5CDD505-2E9C-101B-9397-08002B2CF9AE}" pid="7" name="MSIP_Label_adaa4be3-f650-4692-881a-64ae220cbceb_Method">
    <vt:lpwstr>Standard</vt:lpwstr>
  </property>
  <property fmtid="{D5CDD505-2E9C-101B-9397-08002B2CF9AE}" pid="8" name="MSIP_Label_adaa4be3-f650-4692-881a-64ae220cbceb_Name">
    <vt:lpwstr>OFFICIAL  Internal (External sharing)</vt:lpwstr>
  </property>
  <property fmtid="{D5CDD505-2E9C-101B-9397-08002B2CF9AE}" pid="9" name="MSIP_Label_adaa4be3-f650-4692-881a-64ae220cbceb_SiteId">
    <vt:lpwstr>5a7cc8ab-a4dc-4f9b-bf60-66714049ad62</vt:lpwstr>
  </property>
  <property fmtid="{D5CDD505-2E9C-101B-9397-08002B2CF9AE}" pid="10" name="MSIP_Label_adaa4be3-f650-4692-881a-64ae220cbceb_ActionId">
    <vt:lpwstr>0fb86ce6-ed73-439b-ae3d-bfb831b83dae</vt:lpwstr>
  </property>
  <property fmtid="{D5CDD505-2E9C-101B-9397-08002B2CF9AE}" pid="11" name="MSIP_Label_adaa4be3-f650-4692-881a-64ae220cbceb_ContentBits">
    <vt:lpwstr>0</vt:lpwstr>
  </property>
  <property fmtid="{D5CDD505-2E9C-101B-9397-08002B2CF9AE}" pid="12" name="ContentTypeId">
    <vt:lpwstr>0x0101002C96CFE73FD4774B9FAC0A7DD55247E2</vt:lpwstr>
  </property>
</Properties>
</file>