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42AC6" w14:textId="0193C205" w:rsidR="00E449D4" w:rsidRDefault="00E449D4" w:rsidP="00032A79">
      <w:pPr>
        <w:spacing w:line="276" w:lineRule="auto"/>
        <w:rPr>
          <w:rFonts w:ascii="Arial" w:hAnsi="Arial" w:cs="Arial"/>
          <w:b/>
          <w:sz w:val="36"/>
          <w:szCs w:val="36"/>
        </w:rPr>
      </w:pPr>
    </w:p>
    <w:p w14:paraId="1C86DE4F" w14:textId="7D0B41C8" w:rsidR="00E449D4" w:rsidRDefault="00E449D4" w:rsidP="00032A79">
      <w:pPr>
        <w:spacing w:line="276" w:lineRule="auto"/>
        <w:rPr>
          <w:rFonts w:ascii="Arial" w:hAnsi="Arial" w:cs="Arial"/>
          <w:b/>
          <w:sz w:val="36"/>
          <w:szCs w:val="36"/>
        </w:rPr>
      </w:pPr>
    </w:p>
    <w:p w14:paraId="33E78D21" w14:textId="551E09C6" w:rsidR="00E449D4" w:rsidRDefault="00E449D4" w:rsidP="00032A79">
      <w:pPr>
        <w:spacing w:line="276" w:lineRule="auto"/>
        <w:rPr>
          <w:rFonts w:ascii="Arial" w:hAnsi="Arial" w:cs="Arial"/>
          <w:b/>
          <w:sz w:val="36"/>
          <w:szCs w:val="36"/>
        </w:rPr>
      </w:pPr>
    </w:p>
    <w:p w14:paraId="7C69C226" w14:textId="77777777" w:rsidR="00E449D4" w:rsidRPr="00C138CC" w:rsidRDefault="00E449D4" w:rsidP="00032A79">
      <w:pPr>
        <w:spacing w:line="276" w:lineRule="auto"/>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032A79">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5322AE4" w:rsidR="00E449D4" w:rsidRPr="00C138CC" w:rsidRDefault="00846573" w:rsidP="00032A79">
            <w:pPr>
              <w:spacing w:line="276" w:lineRule="auto"/>
              <w:jc w:val="both"/>
              <w:rPr>
                <w:rFonts w:ascii="Arial" w:hAnsi="Arial" w:cs="Arial"/>
                <w:sz w:val="20"/>
                <w:szCs w:val="20"/>
              </w:rPr>
            </w:pPr>
            <w:r>
              <w:rPr>
                <w:rFonts w:ascii="Arial" w:hAnsi="Arial" w:cs="Arial"/>
                <w:sz w:val="20"/>
                <w:szCs w:val="20"/>
              </w:rPr>
              <w:t xml:space="preserve">Learning </w:t>
            </w:r>
            <w:r w:rsidR="007F57DE">
              <w:rPr>
                <w:rFonts w:ascii="Arial" w:hAnsi="Arial" w:cs="Arial"/>
                <w:sz w:val="20"/>
                <w:szCs w:val="20"/>
              </w:rPr>
              <w:t>Designer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032A79">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20C9C0D" w:rsidR="00E449D4" w:rsidRPr="00C138CC" w:rsidRDefault="007F57DE" w:rsidP="00032A79">
            <w:pPr>
              <w:spacing w:line="276" w:lineRule="auto"/>
              <w:jc w:val="both"/>
              <w:rPr>
                <w:rFonts w:ascii="Arial" w:hAnsi="Arial" w:cs="Arial"/>
                <w:sz w:val="20"/>
                <w:szCs w:val="20"/>
              </w:rPr>
            </w:pPr>
            <w:r>
              <w:rPr>
                <w:rFonts w:ascii="Arial" w:hAnsi="Arial" w:cs="Arial"/>
                <w:sz w:val="20"/>
                <w:szCs w:val="20"/>
              </w:rPr>
              <w:t xml:space="preserve">Office of the </w:t>
            </w:r>
            <w:r w:rsidR="00846573">
              <w:rPr>
                <w:rFonts w:ascii="Arial" w:hAnsi="Arial" w:cs="Arial"/>
                <w:sz w:val="20"/>
                <w:szCs w:val="20"/>
              </w:rPr>
              <w:t>Provost</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032A79">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9BE8BB3" w:rsidR="00E449D4" w:rsidRPr="00C138CC" w:rsidRDefault="007F57DE" w:rsidP="00032A79">
            <w:pPr>
              <w:spacing w:line="276" w:lineRule="auto"/>
              <w:jc w:val="both"/>
              <w:rPr>
                <w:rFonts w:ascii="Arial" w:hAnsi="Arial" w:cs="Arial"/>
                <w:sz w:val="20"/>
                <w:szCs w:val="20"/>
              </w:rPr>
            </w:pPr>
            <w:r>
              <w:rPr>
                <w:rFonts w:ascii="Arial" w:hAnsi="Arial" w:cs="Arial"/>
                <w:sz w:val="20"/>
                <w:szCs w:val="20"/>
              </w:rPr>
              <w:t>HEW 8</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032A79">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EAF4990" w:rsidR="00E449D4" w:rsidRPr="00C138CC" w:rsidRDefault="006136D0" w:rsidP="00032A79">
            <w:pPr>
              <w:spacing w:line="276" w:lineRule="auto"/>
              <w:jc w:val="both"/>
              <w:rPr>
                <w:rFonts w:ascii="Arial" w:hAnsi="Arial" w:cs="Arial"/>
                <w:sz w:val="20"/>
                <w:szCs w:val="20"/>
              </w:rPr>
            </w:pPr>
            <w:r w:rsidRPr="006136D0">
              <w:rPr>
                <w:rFonts w:ascii="Arial" w:hAnsi="Arial" w:cs="Arial"/>
                <w:sz w:val="20"/>
                <w:szCs w:val="20"/>
              </w:rPr>
              <w:t>00063355</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032A79">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D038D63" w:rsidR="00E449D4" w:rsidRPr="00C138CC" w:rsidRDefault="007E1235" w:rsidP="00032A79">
            <w:pPr>
              <w:spacing w:line="276" w:lineRule="auto"/>
              <w:jc w:val="both"/>
              <w:rPr>
                <w:rFonts w:ascii="Arial" w:hAnsi="Arial" w:cs="Arial"/>
                <w:sz w:val="20"/>
                <w:szCs w:val="20"/>
              </w:rPr>
            </w:pPr>
            <w:r>
              <w:rPr>
                <w:rFonts w:ascii="Arial" w:hAnsi="Arial" w:cs="Arial"/>
                <w:sz w:val="20"/>
                <w:szCs w:val="20"/>
              </w:rPr>
              <w:t xml:space="preserve">Senior </w:t>
            </w:r>
            <w:r w:rsidR="009A0908">
              <w:rPr>
                <w:rFonts w:ascii="Arial" w:hAnsi="Arial" w:cs="Arial"/>
                <w:sz w:val="20"/>
                <w:szCs w:val="20"/>
              </w:rPr>
              <w:t>Learning Designer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032A79">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80E20CB" w:rsidR="00E449D4" w:rsidRPr="00C138CC" w:rsidRDefault="00E449D4" w:rsidP="00032A79">
            <w:pPr>
              <w:spacing w:line="276" w:lineRule="auto"/>
              <w:rPr>
                <w:rFonts w:ascii="Arial" w:hAnsi="Arial" w:cs="Arial"/>
                <w:color w:val="FF0000"/>
                <w:sz w:val="20"/>
                <w:szCs w:val="20"/>
              </w:rPr>
            </w:pPr>
            <w:r w:rsidRPr="007F57DE">
              <w:rPr>
                <w:rFonts w:ascii="Arial" w:hAnsi="Arial" w:cs="Arial"/>
                <w:sz w:val="20"/>
                <w:szCs w:val="20"/>
              </w:rPr>
              <w:t>Continuing</w:t>
            </w:r>
          </w:p>
        </w:tc>
      </w:tr>
    </w:tbl>
    <w:p w14:paraId="2AA0FD45" w14:textId="77777777" w:rsidR="00E449D4" w:rsidRPr="00C138CC" w:rsidRDefault="00E449D4" w:rsidP="00032A79">
      <w:pPr>
        <w:tabs>
          <w:tab w:val="left" w:pos="1276"/>
        </w:tabs>
        <w:spacing w:line="276" w:lineRule="auto"/>
        <w:jc w:val="both"/>
        <w:rPr>
          <w:rFonts w:ascii="Arial" w:hAnsi="Arial" w:cs="Arial"/>
          <w:sz w:val="20"/>
          <w:szCs w:val="20"/>
          <w:lang w:eastAsia="en-US"/>
        </w:rPr>
      </w:pPr>
    </w:p>
    <w:p w14:paraId="7D2108BE" w14:textId="77777777" w:rsidR="00E449D4" w:rsidRPr="00C138CC" w:rsidRDefault="00E449D4" w:rsidP="00032A79">
      <w:pPr>
        <w:pStyle w:val="Heading2"/>
        <w:tabs>
          <w:tab w:val="left" w:pos="862"/>
        </w:tabs>
        <w:spacing w:before="0" w:line="276" w:lineRule="auto"/>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5879C009" w14:textId="77777777" w:rsidR="00032A79" w:rsidRDefault="001F07DB" w:rsidP="00032A79">
      <w:pPr>
        <w:pStyle w:val="Heading2"/>
        <w:tabs>
          <w:tab w:val="left" w:pos="862"/>
        </w:tabs>
        <w:spacing w:line="276" w:lineRule="auto"/>
        <w:ind w:left="862" w:firstLine="0"/>
        <w:jc w:val="both"/>
        <w:rPr>
          <w:rFonts w:ascii="Arial" w:eastAsia="Arial" w:hAnsi="Arial" w:cs="Arial"/>
          <w:sz w:val="20"/>
          <w:szCs w:val="20"/>
        </w:rPr>
      </w:pPr>
      <w:r>
        <w:rPr>
          <w:rFonts w:ascii="Arial" w:eastAsia="Arial" w:hAnsi="Arial" w:cs="Arial"/>
          <w:sz w:val="20"/>
          <w:szCs w:val="20"/>
        </w:rPr>
        <w:t>Learning</w:t>
      </w:r>
      <w:r w:rsidR="007F57DE">
        <w:rPr>
          <w:rFonts w:ascii="Arial" w:eastAsia="Arial" w:hAnsi="Arial" w:cs="Arial"/>
          <w:sz w:val="20"/>
          <w:szCs w:val="20"/>
        </w:rPr>
        <w:t xml:space="preserve"> Designers play a key role in the design of learning activities</w:t>
      </w:r>
      <w:r w:rsidR="00DF33E4">
        <w:rPr>
          <w:rFonts w:ascii="Arial" w:eastAsia="Arial" w:hAnsi="Arial" w:cs="Arial"/>
          <w:sz w:val="20"/>
          <w:szCs w:val="20"/>
        </w:rPr>
        <w:t xml:space="preserve">, learning </w:t>
      </w:r>
      <w:r w:rsidR="007F57DE">
        <w:rPr>
          <w:rFonts w:ascii="Arial" w:eastAsia="Arial" w:hAnsi="Arial" w:cs="Arial"/>
          <w:sz w:val="20"/>
          <w:szCs w:val="20"/>
        </w:rPr>
        <w:t>experiences and the integration of resources in a</w:t>
      </w:r>
      <w:r w:rsidR="00DF33E4">
        <w:rPr>
          <w:rFonts w:ascii="Arial" w:eastAsia="Arial" w:hAnsi="Arial" w:cs="Arial"/>
          <w:sz w:val="20"/>
          <w:szCs w:val="20"/>
        </w:rPr>
        <w:t xml:space="preserve"> fully online</w:t>
      </w:r>
      <w:r w:rsidR="007F57DE">
        <w:rPr>
          <w:rFonts w:ascii="Arial" w:eastAsia="Arial" w:hAnsi="Arial" w:cs="Arial"/>
          <w:sz w:val="20"/>
          <w:szCs w:val="20"/>
        </w:rPr>
        <w:t xml:space="preserve"> learning environment, to achieve </w:t>
      </w:r>
      <w:r w:rsidR="002406D9">
        <w:rPr>
          <w:rFonts w:ascii="Arial" w:eastAsia="Arial" w:hAnsi="Arial" w:cs="Arial"/>
          <w:sz w:val="20"/>
          <w:szCs w:val="20"/>
        </w:rPr>
        <w:t xml:space="preserve">high quality </w:t>
      </w:r>
      <w:r w:rsidR="007F57DE">
        <w:rPr>
          <w:rFonts w:ascii="Arial" w:eastAsia="Arial" w:hAnsi="Arial" w:cs="Arial"/>
          <w:sz w:val="20"/>
          <w:szCs w:val="20"/>
        </w:rPr>
        <w:t>learning outcome</w:t>
      </w:r>
      <w:r w:rsidR="002406D9">
        <w:rPr>
          <w:rFonts w:ascii="Arial" w:eastAsia="Arial" w:hAnsi="Arial" w:cs="Arial"/>
          <w:sz w:val="20"/>
          <w:szCs w:val="20"/>
        </w:rPr>
        <w:t>s for students.</w:t>
      </w:r>
    </w:p>
    <w:p w14:paraId="16230A74" w14:textId="51C8F08F" w:rsidR="007F57DE" w:rsidRDefault="007F57DE" w:rsidP="00032A79">
      <w:pPr>
        <w:pStyle w:val="Heading2"/>
        <w:tabs>
          <w:tab w:val="left" w:pos="862"/>
        </w:tabs>
        <w:spacing w:before="0" w:line="276" w:lineRule="auto"/>
        <w:ind w:left="862" w:firstLine="0"/>
        <w:jc w:val="both"/>
        <w:rPr>
          <w:rFonts w:ascii="Arial" w:eastAsia="Arial" w:hAnsi="Arial" w:cs="Arial"/>
          <w:sz w:val="20"/>
          <w:szCs w:val="20"/>
        </w:rPr>
      </w:pPr>
      <w:r>
        <w:rPr>
          <w:rFonts w:ascii="Arial" w:eastAsia="Arial" w:hAnsi="Arial" w:cs="Arial"/>
          <w:sz w:val="20"/>
          <w:szCs w:val="20"/>
        </w:rPr>
        <w:br/>
      </w:r>
      <w:r w:rsidR="002406D9">
        <w:rPr>
          <w:rFonts w:ascii="Arial" w:eastAsia="Arial" w:hAnsi="Arial" w:cs="Arial"/>
          <w:sz w:val="20"/>
          <w:szCs w:val="20"/>
        </w:rPr>
        <w:t>Learning</w:t>
      </w:r>
      <w:r>
        <w:rPr>
          <w:rFonts w:ascii="Arial" w:eastAsia="Arial" w:hAnsi="Arial" w:cs="Arial"/>
          <w:sz w:val="20"/>
          <w:szCs w:val="20"/>
        </w:rPr>
        <w:t xml:space="preserve"> Designers work collaboratively with teaching staff</w:t>
      </w:r>
      <w:r w:rsidR="00786444">
        <w:rPr>
          <w:rFonts w:ascii="Arial" w:eastAsia="Arial" w:hAnsi="Arial" w:cs="Arial"/>
          <w:sz w:val="20"/>
          <w:szCs w:val="20"/>
        </w:rPr>
        <w:t xml:space="preserve">, </w:t>
      </w:r>
      <w:r>
        <w:rPr>
          <w:rFonts w:ascii="Arial" w:eastAsia="Arial" w:hAnsi="Arial" w:cs="Arial"/>
          <w:sz w:val="20"/>
          <w:szCs w:val="20"/>
        </w:rPr>
        <w:t xml:space="preserve">subject matter experts </w:t>
      </w:r>
      <w:r w:rsidR="00786444">
        <w:rPr>
          <w:rFonts w:ascii="Arial" w:eastAsia="Arial" w:hAnsi="Arial" w:cs="Arial"/>
          <w:sz w:val="20"/>
          <w:szCs w:val="20"/>
        </w:rPr>
        <w:t xml:space="preserve">and other members of the Online Strategy Unit </w:t>
      </w:r>
      <w:r w:rsidR="001E2B37">
        <w:rPr>
          <w:rFonts w:ascii="Arial" w:eastAsia="Arial" w:hAnsi="Arial" w:cs="Arial"/>
          <w:sz w:val="20"/>
          <w:szCs w:val="20"/>
        </w:rPr>
        <w:t xml:space="preserve">(OSU) </w:t>
      </w:r>
      <w:r>
        <w:rPr>
          <w:rFonts w:ascii="Arial" w:eastAsia="Arial" w:hAnsi="Arial" w:cs="Arial"/>
          <w:sz w:val="20"/>
          <w:szCs w:val="20"/>
        </w:rPr>
        <w:t xml:space="preserve">to develop </w:t>
      </w:r>
      <w:r w:rsidR="002406D9">
        <w:rPr>
          <w:rFonts w:ascii="Arial" w:eastAsia="Arial" w:hAnsi="Arial" w:cs="Arial"/>
          <w:sz w:val="20"/>
          <w:szCs w:val="20"/>
        </w:rPr>
        <w:t xml:space="preserve">confidence and </w:t>
      </w:r>
      <w:r>
        <w:rPr>
          <w:rFonts w:ascii="Arial" w:eastAsia="Arial" w:hAnsi="Arial" w:cs="Arial"/>
          <w:sz w:val="20"/>
          <w:szCs w:val="20"/>
        </w:rPr>
        <w:t>capability in the application of a range of educational technologies</w:t>
      </w:r>
      <w:r w:rsidR="002406D9">
        <w:rPr>
          <w:rFonts w:ascii="Arial" w:eastAsia="Arial" w:hAnsi="Arial" w:cs="Arial"/>
          <w:sz w:val="20"/>
          <w:szCs w:val="20"/>
        </w:rPr>
        <w:t xml:space="preserve"> that enhance the student experience</w:t>
      </w:r>
      <w:r>
        <w:rPr>
          <w:rFonts w:ascii="Arial" w:eastAsia="Arial" w:hAnsi="Arial" w:cs="Arial"/>
          <w:sz w:val="20"/>
          <w:szCs w:val="20"/>
        </w:rPr>
        <w:t>.</w:t>
      </w:r>
    </w:p>
    <w:p w14:paraId="35D06E50" w14:textId="77777777" w:rsidR="00032A79" w:rsidRDefault="00032A79" w:rsidP="00032A79">
      <w:pPr>
        <w:pStyle w:val="Heading2"/>
        <w:tabs>
          <w:tab w:val="left" w:pos="862"/>
        </w:tabs>
        <w:spacing w:before="0" w:line="276" w:lineRule="auto"/>
        <w:ind w:left="862" w:firstLine="0"/>
        <w:jc w:val="both"/>
        <w:rPr>
          <w:rFonts w:ascii="Arial" w:eastAsia="Arial" w:hAnsi="Arial" w:cs="Arial"/>
          <w:sz w:val="20"/>
          <w:szCs w:val="20"/>
        </w:rPr>
      </w:pPr>
    </w:p>
    <w:p w14:paraId="5954CE3E" w14:textId="743524C4" w:rsidR="007F57DE" w:rsidRDefault="007F57DE" w:rsidP="00032A79">
      <w:pPr>
        <w:pStyle w:val="Heading2"/>
        <w:tabs>
          <w:tab w:val="left" w:pos="862"/>
        </w:tabs>
        <w:spacing w:before="0" w:line="276" w:lineRule="auto"/>
        <w:ind w:left="862" w:firstLine="0"/>
        <w:jc w:val="both"/>
        <w:rPr>
          <w:rFonts w:ascii="Arial" w:eastAsia="Arial" w:hAnsi="Arial" w:cs="Arial"/>
          <w:sz w:val="20"/>
          <w:szCs w:val="20"/>
        </w:rPr>
      </w:pPr>
      <w:r>
        <w:rPr>
          <w:rFonts w:ascii="Arial" w:eastAsia="Arial" w:hAnsi="Arial" w:cs="Arial"/>
          <w:sz w:val="20"/>
          <w:szCs w:val="20"/>
        </w:rPr>
        <w:t xml:space="preserve">This position also works in collaboration with members of the University community and other staff to design and develop student centred </w:t>
      </w:r>
      <w:r w:rsidR="00815C1D">
        <w:rPr>
          <w:rFonts w:ascii="Arial" w:eastAsia="Arial" w:hAnsi="Arial" w:cs="Arial"/>
          <w:sz w:val="20"/>
          <w:szCs w:val="20"/>
        </w:rPr>
        <w:t xml:space="preserve">resources </w:t>
      </w:r>
      <w:r>
        <w:rPr>
          <w:rFonts w:ascii="Arial" w:eastAsia="Arial" w:hAnsi="Arial" w:cs="Arial"/>
          <w:sz w:val="20"/>
          <w:szCs w:val="20"/>
        </w:rPr>
        <w:t>that engage students in rich technology enabled learning experiences.</w:t>
      </w:r>
    </w:p>
    <w:p w14:paraId="566CAD55" w14:textId="77777777" w:rsidR="00032A79" w:rsidRDefault="00032A79" w:rsidP="00032A79">
      <w:pPr>
        <w:pStyle w:val="Heading2"/>
        <w:tabs>
          <w:tab w:val="left" w:pos="862"/>
        </w:tabs>
        <w:spacing w:before="0" w:line="276" w:lineRule="auto"/>
        <w:jc w:val="both"/>
        <w:rPr>
          <w:rFonts w:ascii="Arial" w:eastAsia="Arial" w:hAnsi="Arial" w:cs="Arial"/>
          <w:sz w:val="20"/>
          <w:szCs w:val="20"/>
        </w:rPr>
      </w:pPr>
    </w:p>
    <w:p w14:paraId="3C0D7325" w14:textId="456308B0" w:rsidR="00E449D4" w:rsidRPr="00C138CC" w:rsidRDefault="00032A79" w:rsidP="00032A79">
      <w:pPr>
        <w:pStyle w:val="Heading2"/>
        <w:numPr>
          <w:ilvl w:val="0"/>
          <w:numId w:val="4"/>
        </w:numPr>
        <w:tabs>
          <w:tab w:val="left" w:pos="862"/>
        </w:tabs>
        <w:spacing w:before="0" w:line="276" w:lineRule="auto"/>
        <w:rPr>
          <w:rFonts w:ascii="Arial" w:hAnsi="Arial" w:cs="Arial"/>
          <w:color w:val="E20917"/>
        </w:rPr>
      </w:pPr>
      <w:r>
        <w:rPr>
          <w:rFonts w:ascii="Arial" w:hAnsi="Arial" w:cs="Arial"/>
          <w:color w:val="E20917"/>
        </w:rPr>
        <w:t xml:space="preserve">      </w:t>
      </w:r>
      <w:r w:rsidR="00E449D4" w:rsidRPr="00C138CC">
        <w:rPr>
          <w:rFonts w:ascii="Arial" w:hAnsi="Arial" w:cs="Arial"/>
          <w:color w:val="E20917"/>
        </w:rPr>
        <w:t>Eligibility Requirements</w:t>
      </w:r>
    </w:p>
    <w:p w14:paraId="5D0D582E" w14:textId="3BE5451D" w:rsidR="00C22911" w:rsidRPr="00032A79" w:rsidRDefault="007F57DE" w:rsidP="00032A79">
      <w:pPr>
        <w:numPr>
          <w:ilvl w:val="2"/>
          <w:numId w:val="3"/>
        </w:numPr>
        <w:pBdr>
          <w:top w:val="nil"/>
          <w:left w:val="nil"/>
          <w:bottom w:val="nil"/>
          <w:right w:val="nil"/>
          <w:between w:val="nil"/>
        </w:pBdr>
        <w:tabs>
          <w:tab w:val="left" w:pos="1180"/>
          <w:tab w:val="left" w:pos="1181"/>
        </w:tabs>
        <w:autoSpaceDE/>
        <w:autoSpaceDN/>
        <w:spacing w:before="240" w:line="276" w:lineRule="auto"/>
        <w:ind w:right="1018"/>
        <w:jc w:val="both"/>
        <w:rPr>
          <w:rFonts w:ascii="Arial" w:hAnsi="Arial" w:cs="Arial"/>
          <w:color w:val="000000"/>
          <w:sz w:val="20"/>
          <w:szCs w:val="20"/>
        </w:rPr>
      </w:pPr>
      <w:r w:rsidRPr="007F57DE">
        <w:rPr>
          <w:rFonts w:ascii="Arial" w:hAnsi="Arial" w:cs="Arial"/>
          <w:color w:val="000000"/>
          <w:sz w:val="20"/>
          <w:szCs w:val="20"/>
        </w:rPr>
        <w:t>The occupant of this position wil</w:t>
      </w:r>
      <w:r w:rsidR="00C22911">
        <w:rPr>
          <w:rFonts w:ascii="Arial" w:hAnsi="Arial" w:cs="Arial"/>
          <w:color w:val="000000"/>
          <w:sz w:val="20"/>
          <w:szCs w:val="20"/>
        </w:rPr>
        <w:t>l</w:t>
      </w:r>
      <w:r w:rsidR="00032A79">
        <w:rPr>
          <w:rFonts w:ascii="Arial" w:hAnsi="Arial" w:cs="Arial"/>
          <w:color w:val="000000"/>
          <w:sz w:val="20"/>
          <w:szCs w:val="20"/>
        </w:rPr>
        <w:t xml:space="preserve"> </w:t>
      </w:r>
      <w:r w:rsidRPr="00032A79">
        <w:rPr>
          <w:rFonts w:ascii="Arial" w:hAnsi="Arial" w:cs="Arial"/>
          <w:color w:val="000000"/>
          <w:sz w:val="20"/>
          <w:szCs w:val="20"/>
        </w:rPr>
        <w:t xml:space="preserve">hold </w:t>
      </w:r>
      <w:r w:rsidR="00C3785D" w:rsidRPr="00032A79">
        <w:rPr>
          <w:rFonts w:ascii="Arial" w:hAnsi="Arial" w:cs="Arial"/>
          <w:color w:val="000000"/>
          <w:sz w:val="20"/>
          <w:szCs w:val="20"/>
        </w:rPr>
        <w:t xml:space="preserve">postgraduate </w:t>
      </w:r>
      <w:r w:rsidRPr="00032A79">
        <w:rPr>
          <w:rFonts w:ascii="Arial" w:hAnsi="Arial" w:cs="Arial"/>
          <w:color w:val="000000"/>
          <w:sz w:val="20"/>
          <w:szCs w:val="20"/>
        </w:rPr>
        <w:t>tertiary qualifications in a relevant discipline</w:t>
      </w:r>
      <w:r w:rsidR="00757E80" w:rsidRPr="00032A79">
        <w:rPr>
          <w:rFonts w:ascii="Arial" w:hAnsi="Arial" w:cs="Arial"/>
          <w:sz w:val="20"/>
          <w:szCs w:val="20"/>
        </w:rPr>
        <w:t xml:space="preserve"> such as Instructional Design and/or Teaching</w:t>
      </w:r>
      <w:r w:rsidR="00032A79">
        <w:rPr>
          <w:rFonts w:ascii="Arial" w:hAnsi="Arial" w:cs="Arial"/>
          <w:color w:val="000000"/>
          <w:sz w:val="20"/>
          <w:szCs w:val="20"/>
        </w:rPr>
        <w:t xml:space="preserve"> and </w:t>
      </w:r>
      <w:r w:rsidR="00C22911" w:rsidRPr="00032A79">
        <w:rPr>
          <w:rFonts w:ascii="Arial" w:hAnsi="Arial" w:cs="Arial"/>
          <w:sz w:val="20"/>
          <w:szCs w:val="20"/>
        </w:rPr>
        <w:t xml:space="preserve">have experience </w:t>
      </w:r>
      <w:r w:rsidR="00096A33" w:rsidRPr="00032A79">
        <w:rPr>
          <w:rFonts w:ascii="Arial" w:hAnsi="Arial" w:cs="Arial"/>
          <w:sz w:val="20"/>
          <w:szCs w:val="20"/>
        </w:rPr>
        <w:t>as a</w:t>
      </w:r>
      <w:r w:rsidR="00C22911" w:rsidRPr="00032A79">
        <w:rPr>
          <w:rFonts w:ascii="Arial" w:hAnsi="Arial" w:cs="Arial"/>
          <w:sz w:val="20"/>
          <w:szCs w:val="20"/>
        </w:rPr>
        <w:t xml:space="preserve"> learning design</w:t>
      </w:r>
      <w:r w:rsidR="00096A33" w:rsidRPr="00032A79">
        <w:rPr>
          <w:rFonts w:ascii="Arial" w:hAnsi="Arial" w:cs="Arial"/>
          <w:sz w:val="20"/>
          <w:szCs w:val="20"/>
        </w:rPr>
        <w:t xml:space="preserve">er, </w:t>
      </w:r>
      <w:r w:rsidR="00C22911" w:rsidRPr="00032A79">
        <w:rPr>
          <w:rFonts w:ascii="Arial" w:hAnsi="Arial" w:cs="Arial"/>
          <w:sz w:val="20"/>
          <w:szCs w:val="20"/>
        </w:rPr>
        <w:t>educational design</w:t>
      </w:r>
      <w:r w:rsidR="00096A33" w:rsidRPr="00032A79">
        <w:rPr>
          <w:rFonts w:ascii="Arial" w:hAnsi="Arial" w:cs="Arial"/>
          <w:sz w:val="20"/>
          <w:szCs w:val="20"/>
        </w:rPr>
        <w:t>er and/or learning and teaching consultant (design)</w:t>
      </w:r>
    </w:p>
    <w:p w14:paraId="6D486F09" w14:textId="77777777" w:rsidR="00032A79" w:rsidRPr="00C22911" w:rsidRDefault="00032A79" w:rsidP="00032A79">
      <w:pPr>
        <w:pBdr>
          <w:top w:val="nil"/>
          <w:left w:val="nil"/>
          <w:bottom w:val="nil"/>
          <w:right w:val="nil"/>
          <w:between w:val="nil"/>
        </w:pBdr>
        <w:tabs>
          <w:tab w:val="left" w:pos="1180"/>
          <w:tab w:val="left" w:pos="1181"/>
        </w:tabs>
        <w:autoSpaceDE/>
        <w:autoSpaceDN/>
        <w:spacing w:line="276" w:lineRule="auto"/>
        <w:ind w:left="1985" w:right="1018"/>
        <w:jc w:val="both"/>
        <w:rPr>
          <w:rFonts w:ascii="Arial" w:hAnsi="Arial" w:cs="Arial"/>
          <w:color w:val="000000"/>
          <w:sz w:val="20"/>
          <w:szCs w:val="20"/>
        </w:rPr>
      </w:pPr>
    </w:p>
    <w:p w14:paraId="35D0314E" w14:textId="77777777" w:rsidR="00E449D4" w:rsidRPr="00C138CC" w:rsidRDefault="00E449D4" w:rsidP="00032A79">
      <w:pPr>
        <w:pStyle w:val="Heading2"/>
        <w:tabs>
          <w:tab w:val="left" w:pos="862"/>
        </w:tabs>
        <w:spacing w:before="0" w:line="276" w:lineRule="auto"/>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E674141" w14:textId="2E97B842" w:rsidR="00F967EB" w:rsidRPr="00F967EB" w:rsidRDefault="00BD5A5F"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Pr>
          <w:rFonts w:ascii="Arial" w:hAnsi="Arial" w:cs="Arial"/>
          <w:sz w:val="20"/>
        </w:rPr>
        <w:t xml:space="preserve">Work as an effective and collaborative member of the </w:t>
      </w:r>
      <w:r w:rsidR="001E2B37">
        <w:rPr>
          <w:rFonts w:ascii="Arial" w:hAnsi="Arial" w:cs="Arial"/>
          <w:sz w:val="20"/>
        </w:rPr>
        <w:t xml:space="preserve">OSU </w:t>
      </w:r>
      <w:r>
        <w:rPr>
          <w:rFonts w:ascii="Arial" w:hAnsi="Arial" w:cs="Arial"/>
          <w:sz w:val="20"/>
        </w:rPr>
        <w:t xml:space="preserve">to develop </w:t>
      </w:r>
      <w:r w:rsidR="00FF3E57">
        <w:rPr>
          <w:rFonts w:ascii="Arial" w:hAnsi="Arial" w:cs="Arial"/>
          <w:sz w:val="20"/>
        </w:rPr>
        <w:t>high quality fully online courses as</w:t>
      </w:r>
      <w:r w:rsidR="00F967EB">
        <w:rPr>
          <w:rFonts w:ascii="Arial" w:hAnsi="Arial" w:cs="Arial"/>
          <w:sz w:val="20"/>
        </w:rPr>
        <w:t xml:space="preserve"> per the design and resource requirements of the Unit.</w:t>
      </w:r>
    </w:p>
    <w:p w14:paraId="7FE4CF5A" w14:textId="35BF7B91" w:rsidR="007F57DE" w:rsidRPr="00B23D98" w:rsidRDefault="001E2B37"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B23D98">
        <w:rPr>
          <w:rFonts w:ascii="Arial" w:hAnsi="Arial" w:cs="Arial"/>
          <w:sz w:val="20"/>
        </w:rPr>
        <w:t>Effectively p</w:t>
      </w:r>
      <w:r w:rsidR="007F57DE" w:rsidRPr="00B23D98">
        <w:rPr>
          <w:rFonts w:ascii="Arial" w:hAnsi="Arial" w:cs="Arial"/>
          <w:sz w:val="20"/>
        </w:rPr>
        <w:t>artner with academics, students</w:t>
      </w:r>
      <w:r w:rsidR="00BD5A5F" w:rsidRPr="00B23D98">
        <w:rPr>
          <w:rFonts w:ascii="Arial" w:hAnsi="Arial" w:cs="Arial"/>
          <w:sz w:val="20"/>
        </w:rPr>
        <w:t xml:space="preserve">, </w:t>
      </w:r>
      <w:r w:rsidRPr="00B23D98">
        <w:rPr>
          <w:rFonts w:ascii="Arial" w:hAnsi="Arial" w:cs="Arial"/>
          <w:sz w:val="20"/>
        </w:rPr>
        <w:t xml:space="preserve">OSU members and </w:t>
      </w:r>
      <w:r w:rsidR="00BD5A5F" w:rsidRPr="00B23D98">
        <w:rPr>
          <w:rFonts w:ascii="Arial" w:hAnsi="Arial" w:cs="Arial"/>
          <w:sz w:val="20"/>
        </w:rPr>
        <w:t>key stakeholders</w:t>
      </w:r>
      <w:r w:rsidR="007F57DE" w:rsidRPr="00B23D98">
        <w:rPr>
          <w:rFonts w:ascii="Arial" w:hAnsi="Arial" w:cs="Arial"/>
          <w:sz w:val="20"/>
        </w:rPr>
        <w:t xml:space="preserve"> to design, develop and evaluate high-quality active, authentic, and collaborative </w:t>
      </w:r>
      <w:r w:rsidR="00DC4EBC" w:rsidRPr="00B23D98">
        <w:rPr>
          <w:rFonts w:ascii="Arial" w:hAnsi="Arial" w:cs="Arial"/>
          <w:sz w:val="20"/>
        </w:rPr>
        <w:t>student-centred</w:t>
      </w:r>
      <w:r w:rsidR="007F57DE" w:rsidRPr="00B23D98">
        <w:rPr>
          <w:rFonts w:ascii="Arial" w:hAnsi="Arial" w:cs="Arial"/>
          <w:sz w:val="20"/>
        </w:rPr>
        <w:t xml:space="preserve"> learning experiences </w:t>
      </w:r>
      <w:r w:rsidR="00527D8D" w:rsidRPr="00B23D98">
        <w:rPr>
          <w:rFonts w:ascii="Arial" w:hAnsi="Arial" w:cs="Arial"/>
          <w:sz w:val="20"/>
        </w:rPr>
        <w:t>for fully online delivery</w:t>
      </w:r>
      <w:r w:rsidR="002F5EE6" w:rsidRPr="00B23D98">
        <w:rPr>
          <w:rFonts w:ascii="Arial" w:hAnsi="Arial" w:cs="Arial"/>
          <w:sz w:val="20"/>
        </w:rPr>
        <w:t>.</w:t>
      </w:r>
    </w:p>
    <w:p w14:paraId="07F3AFAD" w14:textId="013E7747" w:rsidR="007F57DE" w:rsidRPr="00F40E22"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F40E22">
        <w:rPr>
          <w:rFonts w:ascii="Arial" w:hAnsi="Arial" w:cs="Arial"/>
          <w:sz w:val="20"/>
        </w:rPr>
        <w:t>Integrat</w:t>
      </w:r>
      <w:r w:rsidR="00F40E22" w:rsidRPr="00F40E22">
        <w:rPr>
          <w:rFonts w:ascii="Arial" w:hAnsi="Arial" w:cs="Arial"/>
          <w:sz w:val="20"/>
        </w:rPr>
        <w:t>e</w:t>
      </w:r>
      <w:r w:rsidRPr="00F40E22">
        <w:rPr>
          <w:rFonts w:ascii="Arial" w:hAnsi="Arial" w:cs="Arial"/>
          <w:sz w:val="20"/>
        </w:rPr>
        <w:t xml:space="preserve"> contemporary learning and teaching strategies to guide course, program, and resource, design including Universal Design for Learning (UDL), </w:t>
      </w:r>
      <w:r w:rsidRPr="00F40E22">
        <w:rPr>
          <w:rFonts w:ascii="Arial" w:hAnsi="Arial" w:cs="Arial"/>
          <w:sz w:val="20"/>
        </w:rPr>
        <w:lastRenderedPageBreak/>
        <w:t xml:space="preserve">Students as partners, and </w:t>
      </w:r>
      <w:proofErr w:type="gramStart"/>
      <w:r w:rsidRPr="00F40E22">
        <w:rPr>
          <w:rFonts w:ascii="Arial" w:hAnsi="Arial" w:cs="Arial"/>
          <w:sz w:val="20"/>
        </w:rPr>
        <w:t>Social</w:t>
      </w:r>
      <w:proofErr w:type="gramEnd"/>
      <w:r w:rsidRPr="00F40E22">
        <w:rPr>
          <w:rFonts w:ascii="Arial" w:hAnsi="Arial" w:cs="Arial"/>
          <w:sz w:val="20"/>
        </w:rPr>
        <w:t xml:space="preserve"> learning, while following the principles of constructive alignment. </w:t>
      </w:r>
      <w:r w:rsidRPr="00F40E22">
        <w:rPr>
          <w:rFonts w:ascii="Arial" w:hAnsi="Arial" w:cs="Arial"/>
          <w:sz w:val="20"/>
        </w:rPr>
        <w:tab/>
        <w:t xml:space="preserve"> </w:t>
      </w:r>
      <w:r w:rsidRPr="00F40E22">
        <w:rPr>
          <w:rFonts w:ascii="Arial" w:hAnsi="Arial" w:cs="Arial"/>
          <w:sz w:val="20"/>
        </w:rPr>
        <w:tab/>
      </w:r>
    </w:p>
    <w:p w14:paraId="2AA73C9E" w14:textId="77777777" w:rsidR="007F57DE" w:rsidRPr="00F40E22"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F40E22">
        <w:rPr>
          <w:rFonts w:ascii="Arial" w:hAnsi="Arial" w:cs="Arial"/>
          <w:sz w:val="20"/>
        </w:rPr>
        <w:t>Collaboratively design diagnostic, formative and summative assessment strategies to foster the development of authentic and transferable skills, with a view to improving employability outcomes and producing graduates confident to face the future.</w:t>
      </w:r>
    </w:p>
    <w:p w14:paraId="181D1A3B" w14:textId="6327959C" w:rsidR="001E2B37" w:rsidRPr="00F40E22" w:rsidRDefault="001E2B37"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F40E22">
        <w:rPr>
          <w:rFonts w:ascii="Arial" w:hAnsi="Arial" w:cs="Arial"/>
          <w:sz w:val="20"/>
        </w:rPr>
        <w:t>Advise and support clients and stakeholders, as needed, during the design, development, delivery, and evaluation of resources, courses and programs that support the strategies, goals, objectives and standards of Griffith University.</w:t>
      </w:r>
    </w:p>
    <w:p w14:paraId="6CCD38C9" w14:textId="77777777" w:rsidR="007F57DE" w:rsidRPr="00F40E22"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F40E22">
        <w:rPr>
          <w:rFonts w:ascii="Arial" w:hAnsi="Arial" w:cs="Arial"/>
          <w:sz w:val="20"/>
        </w:rPr>
        <w:t>Critically assess and adapt existing learning and teaching resources and activities materials with consideration for accessibility, reusability and new course and program requirements.</w:t>
      </w:r>
    </w:p>
    <w:p w14:paraId="18086A7D" w14:textId="1756FB3F" w:rsidR="007F57DE" w:rsidRPr="00F40E22"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F40E22">
        <w:rPr>
          <w:rFonts w:ascii="Arial" w:hAnsi="Arial" w:cs="Arial"/>
          <w:sz w:val="20"/>
        </w:rPr>
        <w:t>Use current and emerging educational technologies to create solutions</w:t>
      </w:r>
      <w:r w:rsidR="00F042D5" w:rsidRPr="00F40E22">
        <w:rPr>
          <w:rFonts w:ascii="Arial" w:hAnsi="Arial" w:cs="Arial"/>
          <w:sz w:val="20"/>
        </w:rPr>
        <w:t xml:space="preserve"> within the agreed OSU design models</w:t>
      </w:r>
      <w:r w:rsidRPr="00F40E22">
        <w:rPr>
          <w:rFonts w:ascii="Arial" w:hAnsi="Arial" w:cs="Arial"/>
          <w:sz w:val="20"/>
        </w:rPr>
        <w:t xml:space="preserve"> for learning while scaffolding development of academic and student skills and capabilities.</w:t>
      </w:r>
    </w:p>
    <w:p w14:paraId="4A46CC16" w14:textId="77777777" w:rsidR="007F57DE" w:rsidRPr="00F40E22"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F40E22">
        <w:rPr>
          <w:rFonts w:ascii="Arial" w:hAnsi="Arial" w:cs="Arial"/>
          <w:sz w:val="20"/>
        </w:rPr>
        <w:t>Facilitate the integration of services and digital resources, from across Griffith University, into courses and programs to support student learning experiences.</w:t>
      </w:r>
    </w:p>
    <w:p w14:paraId="51D16FC7" w14:textId="07E570A7" w:rsidR="007F57DE"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7F57DE">
        <w:rPr>
          <w:rFonts w:ascii="Arial" w:hAnsi="Arial" w:cs="Arial"/>
          <w:sz w:val="20"/>
        </w:rPr>
        <w:t xml:space="preserve">Ensure the efficient management of </w:t>
      </w:r>
      <w:r w:rsidR="00DC4EBC">
        <w:rPr>
          <w:rFonts w:ascii="Arial" w:hAnsi="Arial" w:cs="Arial"/>
          <w:sz w:val="20"/>
        </w:rPr>
        <w:t>learning</w:t>
      </w:r>
      <w:r w:rsidRPr="007F57DE">
        <w:rPr>
          <w:rFonts w:ascii="Arial" w:hAnsi="Arial" w:cs="Arial"/>
          <w:sz w:val="20"/>
        </w:rPr>
        <w:t xml:space="preserve"> design and development projects, including: </w:t>
      </w:r>
    </w:p>
    <w:p w14:paraId="49369A0C" w14:textId="0A394324" w:rsidR="007F57DE" w:rsidRPr="007F57DE" w:rsidRDefault="007F57DE" w:rsidP="00032A79">
      <w:pPr>
        <w:pStyle w:val="ListParagraph"/>
        <w:numPr>
          <w:ilvl w:val="3"/>
          <w:numId w:val="5"/>
        </w:numPr>
        <w:spacing w:line="276" w:lineRule="auto"/>
        <w:ind w:left="1418" w:right="1024" w:hanging="176"/>
        <w:jc w:val="both"/>
        <w:rPr>
          <w:rFonts w:ascii="Arial" w:hAnsi="Arial" w:cs="Arial"/>
          <w:sz w:val="20"/>
        </w:rPr>
      </w:pPr>
      <w:r w:rsidRPr="007F57DE">
        <w:rPr>
          <w:rFonts w:ascii="Arial" w:hAnsi="Arial" w:cs="Arial"/>
          <w:sz w:val="20"/>
        </w:rPr>
        <w:t>managing stakeholder engagement and expectations</w:t>
      </w:r>
    </w:p>
    <w:p w14:paraId="4EC0A576" w14:textId="381B9FB9" w:rsidR="007F57DE" w:rsidRPr="007F57DE" w:rsidRDefault="007F57DE" w:rsidP="00032A79">
      <w:pPr>
        <w:pStyle w:val="ListParagraph"/>
        <w:numPr>
          <w:ilvl w:val="3"/>
          <w:numId w:val="5"/>
        </w:numPr>
        <w:spacing w:line="276" w:lineRule="auto"/>
        <w:ind w:left="1418" w:right="1024" w:hanging="176"/>
        <w:jc w:val="both"/>
        <w:rPr>
          <w:rFonts w:ascii="Arial" w:hAnsi="Arial" w:cs="Arial"/>
          <w:sz w:val="20"/>
        </w:rPr>
      </w:pPr>
      <w:r w:rsidRPr="007F57DE">
        <w:rPr>
          <w:rFonts w:ascii="Arial" w:hAnsi="Arial" w:cs="Arial"/>
          <w:sz w:val="20"/>
        </w:rPr>
        <w:t xml:space="preserve">scoping projects and preparing work estimates ensuring the efficient use of project resources </w:t>
      </w:r>
      <w:r w:rsidR="00DC4EBC">
        <w:rPr>
          <w:rFonts w:ascii="Arial" w:hAnsi="Arial" w:cs="Arial"/>
          <w:sz w:val="20"/>
        </w:rPr>
        <w:t>in collaboration with the OSU project coordination team</w:t>
      </w:r>
    </w:p>
    <w:p w14:paraId="4F98774F" w14:textId="77777777" w:rsidR="007F57DE" w:rsidRPr="007F57DE" w:rsidRDefault="007F57DE" w:rsidP="00032A79">
      <w:pPr>
        <w:pStyle w:val="ListParagraph"/>
        <w:numPr>
          <w:ilvl w:val="3"/>
          <w:numId w:val="5"/>
        </w:numPr>
        <w:spacing w:line="276" w:lineRule="auto"/>
        <w:ind w:left="1418" w:right="1024" w:hanging="176"/>
        <w:jc w:val="both"/>
        <w:rPr>
          <w:rFonts w:ascii="Arial" w:hAnsi="Arial" w:cs="Arial"/>
          <w:sz w:val="20"/>
        </w:rPr>
      </w:pPr>
      <w:r w:rsidRPr="007F57DE">
        <w:rPr>
          <w:rFonts w:ascii="Arial" w:hAnsi="Arial" w:cs="Arial"/>
          <w:sz w:val="20"/>
        </w:rPr>
        <w:t xml:space="preserve">maintaining relevant documentation and data records </w:t>
      </w:r>
    </w:p>
    <w:p w14:paraId="2725EA91" w14:textId="77777777" w:rsidR="007F57DE" w:rsidRPr="007F57DE" w:rsidRDefault="007F57DE" w:rsidP="00032A79">
      <w:pPr>
        <w:pStyle w:val="ListParagraph"/>
        <w:numPr>
          <w:ilvl w:val="3"/>
          <w:numId w:val="5"/>
        </w:numPr>
        <w:spacing w:line="276" w:lineRule="auto"/>
        <w:ind w:left="1418" w:right="1024" w:hanging="176"/>
        <w:jc w:val="both"/>
        <w:rPr>
          <w:rFonts w:ascii="Arial" w:hAnsi="Arial" w:cs="Arial"/>
          <w:sz w:val="20"/>
        </w:rPr>
      </w:pPr>
      <w:r w:rsidRPr="007F57DE">
        <w:rPr>
          <w:rFonts w:ascii="Arial" w:hAnsi="Arial" w:cs="Arial"/>
          <w:sz w:val="20"/>
        </w:rPr>
        <w:t xml:space="preserve">delivering outcomes in line with budget and quality objectives </w:t>
      </w:r>
    </w:p>
    <w:p w14:paraId="74A4807C" w14:textId="77777777" w:rsidR="007F57DE" w:rsidRPr="007F57DE" w:rsidRDefault="007F57DE" w:rsidP="00032A79">
      <w:pPr>
        <w:pStyle w:val="ListParagraph"/>
        <w:numPr>
          <w:ilvl w:val="3"/>
          <w:numId w:val="5"/>
        </w:numPr>
        <w:spacing w:line="276" w:lineRule="auto"/>
        <w:ind w:left="1418" w:right="1024" w:hanging="176"/>
        <w:jc w:val="both"/>
        <w:rPr>
          <w:rFonts w:ascii="Arial" w:hAnsi="Arial" w:cs="Arial"/>
          <w:sz w:val="20"/>
        </w:rPr>
      </w:pPr>
      <w:r w:rsidRPr="007F57DE">
        <w:rPr>
          <w:rFonts w:ascii="Arial" w:hAnsi="Arial" w:cs="Arial"/>
          <w:sz w:val="20"/>
        </w:rPr>
        <w:t>efficiently managing multiple complex projects simultaneously with shared resources and competing deadlines.</w:t>
      </w:r>
    </w:p>
    <w:p w14:paraId="29CC92A9" w14:textId="77777777" w:rsidR="007F57DE" w:rsidRPr="007F57DE"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7F57DE">
        <w:rPr>
          <w:rFonts w:ascii="Arial" w:hAnsi="Arial" w:cs="Arial"/>
          <w:sz w:val="20"/>
        </w:rPr>
        <w:t>Design, develop and deliver professional learning programs for academics and other professional staff to build the University’s capacity to achieve strategic goals.</w:t>
      </w:r>
    </w:p>
    <w:p w14:paraId="690AF5FA" w14:textId="77777777" w:rsidR="007F57DE"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7F57DE">
        <w:rPr>
          <w:rFonts w:ascii="Arial" w:hAnsi="Arial" w:cs="Arial"/>
          <w:sz w:val="20"/>
        </w:rPr>
        <w:t>Ensure compliance with relevant legislation and University policies and procedures, including equity and health and safety and exhibit good practice in relation to same.</w:t>
      </w:r>
    </w:p>
    <w:p w14:paraId="4FFF7170" w14:textId="77777777" w:rsidR="00F40E22" w:rsidRDefault="00F40E22" w:rsidP="00F40E22">
      <w:pPr>
        <w:pStyle w:val="ListParagraph"/>
        <w:numPr>
          <w:ilvl w:val="2"/>
          <w:numId w:val="1"/>
        </w:numPr>
        <w:tabs>
          <w:tab w:val="left" w:pos="1180"/>
          <w:tab w:val="left" w:pos="1181"/>
        </w:tabs>
        <w:spacing w:before="240" w:line="276" w:lineRule="auto"/>
        <w:ind w:left="1134" w:right="1024" w:hanging="567"/>
        <w:jc w:val="both"/>
        <w:rPr>
          <w:rFonts w:ascii="Arial" w:hAnsi="Arial" w:cs="Arial"/>
          <w:sz w:val="20"/>
          <w:szCs w:val="20"/>
        </w:rPr>
      </w:pPr>
      <w:r w:rsidRPr="4C272810">
        <w:rPr>
          <w:rFonts w:ascii="Arial" w:hAnsi="Arial" w:cs="Arial"/>
          <w:sz w:val="20"/>
          <w:szCs w:val="20"/>
        </w:rPr>
        <w:t>May be required to take on other responsibilities, commensurate with the expectations of a role at this level, which contribute to the overall objectives of the work unit.</w:t>
      </w:r>
    </w:p>
    <w:p w14:paraId="52F04DBA" w14:textId="77777777" w:rsidR="007F57DE" w:rsidRDefault="007F57DE" w:rsidP="00032A79">
      <w:pPr>
        <w:pStyle w:val="ListParagraph"/>
        <w:numPr>
          <w:ilvl w:val="2"/>
          <w:numId w:val="1"/>
        </w:numPr>
        <w:tabs>
          <w:tab w:val="left" w:pos="1180"/>
          <w:tab w:val="left" w:pos="1181"/>
        </w:tabs>
        <w:spacing w:before="240" w:line="276" w:lineRule="auto"/>
        <w:ind w:right="1024"/>
        <w:jc w:val="both"/>
        <w:rPr>
          <w:rFonts w:ascii="Arial" w:hAnsi="Arial" w:cs="Arial"/>
          <w:sz w:val="20"/>
        </w:rPr>
      </w:pPr>
      <w:r w:rsidRPr="007F57DE">
        <w:rPr>
          <w:rFonts w:ascii="Arial" w:hAnsi="Arial" w:cs="Arial"/>
          <w:sz w:val="20"/>
        </w:rPr>
        <w:t xml:space="preserve">Be a leading example of the principles and values embodied in the University’s Code of Conduct, and behave, act and </w:t>
      </w:r>
      <w:proofErr w:type="gramStart"/>
      <w:r w:rsidRPr="007F57DE">
        <w:rPr>
          <w:rFonts w:ascii="Arial" w:hAnsi="Arial" w:cs="Arial"/>
          <w:sz w:val="20"/>
        </w:rPr>
        <w:t>communicate at all times</w:t>
      </w:r>
      <w:proofErr w:type="gramEnd"/>
      <w:r w:rsidRPr="007F57DE">
        <w:rPr>
          <w:rFonts w:ascii="Arial" w:hAnsi="Arial" w:cs="Arial"/>
          <w:sz w:val="20"/>
        </w:rPr>
        <w:t xml:space="preserve"> to reflect fairness, ethics and professionalism.</w:t>
      </w:r>
    </w:p>
    <w:p w14:paraId="25B739D0" w14:textId="77777777" w:rsidR="00032A79" w:rsidRDefault="00032A79" w:rsidP="00032A79">
      <w:pPr>
        <w:pStyle w:val="ListParagraph"/>
        <w:tabs>
          <w:tab w:val="left" w:pos="1180"/>
          <w:tab w:val="left" w:pos="1181"/>
        </w:tabs>
        <w:spacing w:line="276" w:lineRule="auto"/>
        <w:ind w:left="1134" w:right="1024"/>
        <w:jc w:val="both"/>
        <w:rPr>
          <w:rFonts w:ascii="Arial" w:hAnsi="Arial" w:cs="Arial"/>
          <w:sz w:val="20"/>
          <w:szCs w:val="20"/>
        </w:rPr>
      </w:pPr>
    </w:p>
    <w:p w14:paraId="4EC6CFFA" w14:textId="77777777" w:rsidR="00032A79" w:rsidRDefault="00032A79" w:rsidP="00032A79">
      <w:pPr>
        <w:pStyle w:val="ListParagraph"/>
        <w:tabs>
          <w:tab w:val="left" w:pos="1180"/>
          <w:tab w:val="left" w:pos="1181"/>
        </w:tabs>
        <w:spacing w:line="276" w:lineRule="auto"/>
        <w:ind w:left="1134" w:right="1024"/>
        <w:jc w:val="both"/>
        <w:rPr>
          <w:rFonts w:ascii="Arial" w:hAnsi="Arial" w:cs="Arial"/>
          <w:sz w:val="20"/>
          <w:szCs w:val="20"/>
        </w:rPr>
      </w:pPr>
    </w:p>
    <w:p w14:paraId="0871E277" w14:textId="77777777" w:rsidR="00032A79" w:rsidRPr="00681550" w:rsidRDefault="00032A79" w:rsidP="00032A79">
      <w:pPr>
        <w:pStyle w:val="ListParagraph"/>
        <w:tabs>
          <w:tab w:val="left" w:pos="1180"/>
          <w:tab w:val="left" w:pos="1181"/>
        </w:tabs>
        <w:spacing w:line="276" w:lineRule="auto"/>
        <w:ind w:left="1134" w:right="1024"/>
        <w:jc w:val="both"/>
        <w:rPr>
          <w:rFonts w:ascii="Arial" w:hAnsi="Arial" w:cs="Arial"/>
          <w:sz w:val="20"/>
          <w:szCs w:val="20"/>
        </w:rPr>
      </w:pPr>
    </w:p>
    <w:p w14:paraId="15E6FE81" w14:textId="77777777" w:rsidR="00E449D4" w:rsidRPr="00C138CC" w:rsidRDefault="00E449D4" w:rsidP="00032A79">
      <w:pPr>
        <w:pStyle w:val="Heading2"/>
        <w:tabs>
          <w:tab w:val="left" w:pos="862"/>
        </w:tabs>
        <w:spacing w:before="0" w:line="276" w:lineRule="auto"/>
        <w:ind w:left="142" w:firstLine="0"/>
        <w:rPr>
          <w:rFonts w:ascii="Arial" w:hAnsi="Arial" w:cs="Arial"/>
          <w:color w:val="E20917"/>
        </w:rPr>
      </w:pPr>
      <w:bookmarkStart w:id="0" w:name="On_the_recommendation_of_the_Vice_Chance"/>
      <w:bookmarkEnd w:id="0"/>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032A79">
      <w:pPr>
        <w:pStyle w:val="ListParagraph"/>
        <w:tabs>
          <w:tab w:val="left" w:pos="1180"/>
          <w:tab w:val="left" w:pos="1181"/>
        </w:tabs>
        <w:spacing w:line="276" w:lineRule="auto"/>
        <w:ind w:right="1020"/>
        <w:rPr>
          <w:rFonts w:ascii="Arial" w:hAnsi="Arial" w:cs="Arial"/>
          <w:sz w:val="20"/>
        </w:rPr>
      </w:pPr>
    </w:p>
    <w:p w14:paraId="42E79E90" w14:textId="77777777" w:rsidR="00DC185F" w:rsidRPr="00D803DA" w:rsidRDefault="00DC185F" w:rsidP="00032A79">
      <w:pPr>
        <w:pStyle w:val="paragraph"/>
        <w:numPr>
          <w:ilvl w:val="0"/>
          <w:numId w:val="2"/>
        </w:numPr>
        <w:spacing w:before="0" w:beforeAutospacing="0" w:after="0" w:afterAutospacing="0" w:line="276" w:lineRule="auto"/>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032A79">
      <w:pPr>
        <w:tabs>
          <w:tab w:val="left" w:pos="1181"/>
        </w:tabs>
        <w:spacing w:line="276" w:lineRule="auto"/>
        <w:ind w:left="820" w:right="1020"/>
        <w:jc w:val="both"/>
        <w:rPr>
          <w:rFonts w:ascii="Arial" w:hAnsi="Arial" w:cs="Arial"/>
          <w:color w:val="000000"/>
          <w:sz w:val="20"/>
          <w:szCs w:val="20"/>
          <w:lang w:bidi="ar-SA"/>
        </w:rPr>
      </w:pPr>
    </w:p>
    <w:p w14:paraId="7DD99D48" w14:textId="77777777" w:rsidR="00DC185F" w:rsidRDefault="00DC185F" w:rsidP="00032A79">
      <w:pPr>
        <w:tabs>
          <w:tab w:val="left" w:pos="1276"/>
        </w:tabs>
        <w:spacing w:line="276" w:lineRule="auto"/>
        <w:ind w:left="1276"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1CAD723B" w14:textId="4503F0CA" w:rsidR="00EB78CB" w:rsidRDefault="00EB78CB" w:rsidP="00032A79">
      <w:pPr>
        <w:spacing w:line="276" w:lineRule="auto"/>
      </w:pPr>
    </w:p>
    <w:p w14:paraId="4339476E" w14:textId="07761CD5" w:rsidR="00EB78CB" w:rsidRDefault="00EB78CB" w:rsidP="00032A79">
      <w:pPr>
        <w:spacing w:line="276" w:lineRule="auto"/>
      </w:pPr>
    </w:p>
    <w:p w14:paraId="593CD0FF" w14:textId="77777777" w:rsidR="00EB78CB" w:rsidRDefault="00EB78CB" w:rsidP="00032A79">
      <w:pPr>
        <w:spacing w:line="276" w:lineRule="auto"/>
      </w:pPr>
    </w:p>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6227C" w14:textId="77777777" w:rsidR="00683FD8" w:rsidRDefault="00683FD8" w:rsidP="00E449D4">
      <w:r>
        <w:separator/>
      </w:r>
    </w:p>
  </w:endnote>
  <w:endnote w:type="continuationSeparator" w:id="0">
    <w:p w14:paraId="16323BDE" w14:textId="77777777" w:rsidR="00683FD8" w:rsidRDefault="00683FD8"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65B8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2069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11BE5" w14:textId="77777777" w:rsidR="00683FD8" w:rsidRDefault="00683FD8" w:rsidP="00E449D4">
      <w:r>
        <w:separator/>
      </w:r>
    </w:p>
  </w:footnote>
  <w:footnote w:type="continuationSeparator" w:id="0">
    <w:p w14:paraId="4BE79CB7" w14:textId="77777777" w:rsidR="00683FD8" w:rsidRDefault="00683FD8"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AAB6C"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2F99"/>
    <w:multiLevelType w:val="multilevel"/>
    <w:tmpl w:val="D348FD9C"/>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start w:val="1"/>
      <w:numFmt w:val="bullet"/>
      <w:lvlText w:val=""/>
      <w:lvlJc w:val="left"/>
      <w:pPr>
        <w:ind w:left="3437" w:hanging="360"/>
      </w:pPr>
      <w:rPr>
        <w:rFonts w:ascii="Symbol" w:hAnsi="Symbol" w:hint="default"/>
        <w:color w:val="auto"/>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3F933046"/>
    <w:multiLevelType w:val="multilevel"/>
    <w:tmpl w:val="652E2A9E"/>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start w:val="1"/>
      <w:numFmt w:val="bullet"/>
      <w:lvlText w:val=""/>
      <w:lvlJc w:val="left"/>
      <w:pPr>
        <w:ind w:left="3437" w:hanging="360"/>
      </w:pPr>
      <w:rPr>
        <w:rFonts w:ascii="Wingdings" w:hAnsi="Wingdings" w:hint="default"/>
        <w:color w:val="FF0000"/>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52014406"/>
    <w:multiLevelType w:val="multilevel"/>
    <w:tmpl w:val="D55CA3EE"/>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rPr>
        <w:rFonts w:ascii="Noto Sans Symbols" w:eastAsia="Noto Sans Symbols" w:hAnsi="Noto Sans Symbols" w:cs="Noto Sans Symbols"/>
        <w:color w:val="C00000"/>
      </w:r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3" w15:restartNumberingAfterBreak="0">
    <w:nsid w:val="59822701"/>
    <w:multiLevelType w:val="multilevel"/>
    <w:tmpl w:val="FD124132"/>
    <w:lvl w:ilvl="0">
      <w:start w:val="2"/>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6196899">
    <w:abstractNumId w:val="1"/>
  </w:num>
  <w:num w:numId="2" w16cid:durableId="862748262">
    <w:abstractNumId w:val="4"/>
  </w:num>
  <w:num w:numId="3" w16cid:durableId="284652754">
    <w:abstractNumId w:val="2"/>
  </w:num>
  <w:num w:numId="4" w16cid:durableId="978419378">
    <w:abstractNumId w:val="3"/>
  </w:num>
  <w:num w:numId="5" w16cid:durableId="82840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2A79"/>
    <w:rsid w:val="0008457A"/>
    <w:rsid w:val="00091CA6"/>
    <w:rsid w:val="00096A33"/>
    <w:rsid w:val="000D7BA4"/>
    <w:rsid w:val="001834E6"/>
    <w:rsid w:val="001E2B37"/>
    <w:rsid w:val="001F07DB"/>
    <w:rsid w:val="001F2167"/>
    <w:rsid w:val="002406D9"/>
    <w:rsid w:val="0029469D"/>
    <w:rsid w:val="002A34FC"/>
    <w:rsid w:val="002F5EE6"/>
    <w:rsid w:val="005024B7"/>
    <w:rsid w:val="00527D8D"/>
    <w:rsid w:val="005A5819"/>
    <w:rsid w:val="005B1CD0"/>
    <w:rsid w:val="006136D0"/>
    <w:rsid w:val="00681550"/>
    <w:rsid w:val="00683FD8"/>
    <w:rsid w:val="00757E80"/>
    <w:rsid w:val="00786444"/>
    <w:rsid w:val="007E1235"/>
    <w:rsid w:val="007F57DE"/>
    <w:rsid w:val="00803ACE"/>
    <w:rsid w:val="00815C1D"/>
    <w:rsid w:val="00846573"/>
    <w:rsid w:val="008515AC"/>
    <w:rsid w:val="00864393"/>
    <w:rsid w:val="00890585"/>
    <w:rsid w:val="009A0908"/>
    <w:rsid w:val="00B23D98"/>
    <w:rsid w:val="00B56C4F"/>
    <w:rsid w:val="00B66372"/>
    <w:rsid w:val="00BC6A5B"/>
    <w:rsid w:val="00BD5A5F"/>
    <w:rsid w:val="00C03F72"/>
    <w:rsid w:val="00C22911"/>
    <w:rsid w:val="00C3785D"/>
    <w:rsid w:val="00DA1D1A"/>
    <w:rsid w:val="00DC185F"/>
    <w:rsid w:val="00DC4EBC"/>
    <w:rsid w:val="00DF33E4"/>
    <w:rsid w:val="00E3020D"/>
    <w:rsid w:val="00E449D4"/>
    <w:rsid w:val="00EB78CB"/>
    <w:rsid w:val="00F042D5"/>
    <w:rsid w:val="00F40E22"/>
    <w:rsid w:val="00F54595"/>
    <w:rsid w:val="00F967EB"/>
    <w:rsid w:val="00FF3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F40E22"/>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C6CE2-0B9F-4E7F-9E4C-4E594F29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58218-F9CC-4B54-97AF-E4275DC2B1D0}">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 ds:uri="0fa0b461-26d9-41f0-8c4a-898a6e0ed324"/>
    <ds:schemaRef ds:uri="ef98ed33-5c40-4c92-a880-1f7729e6c933"/>
  </ds:schemaRefs>
</ds:datastoreItem>
</file>

<file path=customXml/itemProps3.xml><?xml version="1.0" encoding="utf-8"?>
<ds:datastoreItem xmlns:ds="http://schemas.openxmlformats.org/officeDocument/2006/customXml" ds:itemID="{B9C6D79B-4CB0-480C-9320-D07A83528896}">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Educational Technologies; Program Support; Learning Experiences; Stakeholder Engagement; Learning and Teaching Resources</cp:keywords>
  <dc:description/>
  <cp:lastModifiedBy>Rachel Kirk</cp:lastModifiedBy>
  <cp:revision>2</cp:revision>
  <dcterms:created xsi:type="dcterms:W3CDTF">2024-11-26T00:00:00Z</dcterms:created>
  <dcterms:modified xsi:type="dcterms:W3CDTF">2024-11-26T00:00:00Z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2022-11-23T06:26:21Z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bb4cd8d0-09dd-465f-bf3b-29bd7f6a8bac</vt:lpwstr>
  </property>
  <property fmtid="{D5CDD505-2E9C-101B-9397-08002B2CF9AE}" pid="8" name="MSIP_Label_adaa4be3-f650-4692-881a-64ae220cbceb_ContentBits">
    <vt:lpwstr>0</vt:lpwstr>
  </property>
  <property fmtid="{D5CDD505-2E9C-101B-9397-08002B2CF9AE}" pid="9" name="ContentTypeId">
    <vt:lpwstr>0x0101006FC0B07C030A714E8A70755967F05F64</vt:lpwstr>
  </property>
  <property fmtid="{D5CDD505-2E9C-101B-9397-08002B2CF9AE}" pid="10" name="MediaServiceImageTags">
    <vt:lpwstr/>
  </property>
</Properties>
</file>