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6242DE">
      <w:pPr>
        <w:jc w:val="both"/>
        <w:rPr>
          <w:rFonts w:ascii="Arial" w:hAnsi="Arial" w:cs="Arial"/>
          <w:b/>
          <w:sz w:val="36"/>
          <w:szCs w:val="36"/>
        </w:rPr>
      </w:pPr>
    </w:p>
    <w:p w14:paraId="1C86DE4F" w14:textId="7D0B41C8" w:rsidR="00E449D4" w:rsidRDefault="00E449D4" w:rsidP="006242DE">
      <w:pPr>
        <w:jc w:val="both"/>
        <w:rPr>
          <w:rFonts w:ascii="Arial" w:hAnsi="Arial" w:cs="Arial"/>
          <w:b/>
          <w:sz w:val="36"/>
          <w:szCs w:val="36"/>
        </w:rPr>
      </w:pPr>
    </w:p>
    <w:p w14:paraId="33E78D21" w14:textId="551E09C6" w:rsidR="00E449D4" w:rsidRDefault="00E449D4" w:rsidP="006242DE">
      <w:pPr>
        <w:jc w:val="both"/>
        <w:rPr>
          <w:rFonts w:ascii="Arial" w:hAnsi="Arial" w:cs="Arial"/>
          <w:b/>
          <w:sz w:val="36"/>
          <w:szCs w:val="36"/>
        </w:rPr>
      </w:pPr>
    </w:p>
    <w:p w14:paraId="7C69C226" w14:textId="77777777" w:rsidR="00E449D4" w:rsidRPr="00C138CC" w:rsidRDefault="00E449D4" w:rsidP="006242DE">
      <w:pPr>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6242DE" w:rsidRPr="00C138CC" w14:paraId="73456FE4" w14:textId="77777777" w:rsidTr="3066894D">
        <w:trPr>
          <w:trHeight w:val="460"/>
          <w:jc w:val="center"/>
        </w:trPr>
        <w:tc>
          <w:tcPr>
            <w:tcW w:w="2875" w:type="dxa"/>
            <w:shd w:val="clear" w:color="auto" w:fill="D9D9D9" w:themeFill="background1" w:themeFillShade="D9"/>
            <w:vAlign w:val="center"/>
          </w:tcPr>
          <w:p w14:paraId="4D89E451" w14:textId="77777777" w:rsidR="006242DE" w:rsidRPr="006242DE" w:rsidRDefault="006242DE" w:rsidP="006242DE">
            <w:pPr>
              <w:rPr>
                <w:rFonts w:ascii="Arial" w:eastAsia="Malgun Gothic" w:hAnsi="Arial" w:cs="Arial"/>
                <w:b/>
                <w:color w:val="000000" w:themeColor="text1"/>
                <w:sz w:val="20"/>
                <w:szCs w:val="20"/>
              </w:rPr>
            </w:pPr>
            <w:r w:rsidRPr="006242DE">
              <w:rPr>
                <w:rFonts w:ascii="Arial" w:eastAsia="Malgun Gothic" w:hAnsi="Arial" w:cs="Arial"/>
                <w:b/>
                <w:color w:val="000000" w:themeColor="text1"/>
                <w:sz w:val="20"/>
                <w:szCs w:val="20"/>
              </w:rPr>
              <w:t>Position Title</w:t>
            </w:r>
          </w:p>
        </w:tc>
        <w:tc>
          <w:tcPr>
            <w:tcW w:w="6197" w:type="dxa"/>
            <w:vAlign w:val="center"/>
          </w:tcPr>
          <w:p w14:paraId="40F10BAB" w14:textId="10E3BCB9" w:rsidR="006242DE" w:rsidRPr="006242DE" w:rsidRDefault="006242DE" w:rsidP="006242DE">
            <w:pPr>
              <w:rPr>
                <w:rFonts w:ascii="Arial" w:hAnsi="Arial" w:cs="Arial"/>
                <w:sz w:val="20"/>
                <w:szCs w:val="20"/>
              </w:rPr>
            </w:pPr>
            <w:r w:rsidRPr="3066894D">
              <w:rPr>
                <w:rFonts w:ascii="Arial" w:hAnsi="Arial" w:cs="Arial"/>
                <w:sz w:val="20"/>
                <w:szCs w:val="20"/>
              </w:rPr>
              <w:t xml:space="preserve">Senior </w:t>
            </w:r>
            <w:r w:rsidR="00D0037E" w:rsidRPr="3066894D">
              <w:rPr>
                <w:rFonts w:ascii="Arial" w:hAnsi="Arial" w:cs="Arial"/>
                <w:sz w:val="20"/>
                <w:szCs w:val="20"/>
              </w:rPr>
              <w:t>Learning Designer (</w:t>
            </w:r>
            <w:r w:rsidR="41F40A86" w:rsidRPr="3066894D">
              <w:rPr>
                <w:rFonts w:ascii="Arial" w:hAnsi="Arial" w:cs="Arial"/>
                <w:sz w:val="20"/>
                <w:szCs w:val="20"/>
              </w:rPr>
              <w:t>Quality and Support</w:t>
            </w:r>
            <w:r w:rsidR="00D0037E" w:rsidRPr="3066894D">
              <w:rPr>
                <w:rFonts w:ascii="Arial" w:hAnsi="Arial" w:cs="Arial"/>
                <w:sz w:val="20"/>
                <w:szCs w:val="20"/>
              </w:rPr>
              <w:t>)</w:t>
            </w:r>
          </w:p>
        </w:tc>
      </w:tr>
      <w:tr w:rsidR="006242DE" w:rsidRPr="00C138CC" w14:paraId="61B9059B" w14:textId="77777777" w:rsidTr="3066894D">
        <w:trPr>
          <w:trHeight w:val="460"/>
          <w:jc w:val="center"/>
        </w:trPr>
        <w:tc>
          <w:tcPr>
            <w:tcW w:w="2875" w:type="dxa"/>
            <w:shd w:val="clear" w:color="auto" w:fill="D9D9D9" w:themeFill="background1" w:themeFillShade="D9"/>
            <w:vAlign w:val="center"/>
          </w:tcPr>
          <w:p w14:paraId="49E267B4" w14:textId="77777777" w:rsidR="006242DE" w:rsidRPr="006242DE" w:rsidRDefault="006242DE" w:rsidP="006242DE">
            <w:pPr>
              <w:rPr>
                <w:rFonts w:ascii="Arial" w:eastAsia="Malgun Gothic" w:hAnsi="Arial" w:cs="Arial"/>
                <w:b/>
                <w:color w:val="000000" w:themeColor="text1"/>
                <w:sz w:val="20"/>
                <w:szCs w:val="20"/>
              </w:rPr>
            </w:pPr>
            <w:r w:rsidRPr="006242DE">
              <w:rPr>
                <w:rFonts w:ascii="Arial" w:eastAsia="Malgun Gothic" w:hAnsi="Arial" w:cs="Arial"/>
                <w:b/>
                <w:color w:val="000000" w:themeColor="text1"/>
                <w:sz w:val="20"/>
                <w:szCs w:val="20"/>
              </w:rPr>
              <w:t>Group/Portfolio</w:t>
            </w:r>
          </w:p>
        </w:tc>
        <w:tc>
          <w:tcPr>
            <w:tcW w:w="6197" w:type="dxa"/>
            <w:vAlign w:val="center"/>
          </w:tcPr>
          <w:p w14:paraId="5534AA88" w14:textId="657E537F" w:rsidR="006242DE" w:rsidRPr="006242DE" w:rsidRDefault="006242DE" w:rsidP="006242DE">
            <w:pPr>
              <w:rPr>
                <w:rFonts w:ascii="Arial" w:hAnsi="Arial" w:cs="Arial"/>
                <w:sz w:val="20"/>
                <w:szCs w:val="20"/>
              </w:rPr>
            </w:pPr>
            <w:r w:rsidRPr="006242DE">
              <w:rPr>
                <w:rFonts w:ascii="Arial" w:hAnsi="Arial" w:cs="Arial"/>
                <w:sz w:val="20"/>
                <w:szCs w:val="20"/>
              </w:rPr>
              <w:t>HEW</w:t>
            </w:r>
            <w:r w:rsidRPr="006242DE">
              <w:rPr>
                <w:rFonts w:ascii="Arial" w:hAnsi="Arial" w:cs="Arial"/>
                <w:spacing w:val="-1"/>
                <w:sz w:val="20"/>
                <w:szCs w:val="20"/>
              </w:rPr>
              <w:t xml:space="preserve"> </w:t>
            </w:r>
            <w:r w:rsidRPr="006242DE">
              <w:rPr>
                <w:rFonts w:ascii="Arial" w:hAnsi="Arial" w:cs="Arial"/>
                <w:spacing w:val="-10"/>
                <w:sz w:val="20"/>
                <w:szCs w:val="20"/>
              </w:rPr>
              <w:t>9</w:t>
            </w:r>
          </w:p>
        </w:tc>
      </w:tr>
      <w:tr w:rsidR="006242DE" w:rsidRPr="00C138CC" w14:paraId="099F77AA" w14:textId="77777777" w:rsidTr="3066894D">
        <w:trPr>
          <w:trHeight w:val="460"/>
          <w:jc w:val="center"/>
        </w:trPr>
        <w:tc>
          <w:tcPr>
            <w:tcW w:w="2875" w:type="dxa"/>
            <w:shd w:val="clear" w:color="auto" w:fill="D9D9D9" w:themeFill="background1" w:themeFillShade="D9"/>
            <w:vAlign w:val="center"/>
          </w:tcPr>
          <w:p w14:paraId="1218FF3A" w14:textId="77777777" w:rsidR="006242DE" w:rsidRPr="006242DE" w:rsidRDefault="006242DE" w:rsidP="006242DE">
            <w:pPr>
              <w:rPr>
                <w:rFonts w:ascii="Arial" w:eastAsia="Malgun Gothic" w:hAnsi="Arial" w:cs="Arial"/>
                <w:b/>
                <w:color w:val="000000" w:themeColor="text1"/>
                <w:sz w:val="20"/>
                <w:szCs w:val="20"/>
              </w:rPr>
            </w:pPr>
            <w:r w:rsidRPr="006242DE">
              <w:rPr>
                <w:rFonts w:ascii="Arial" w:eastAsia="Malgun Gothic" w:hAnsi="Arial" w:cs="Arial"/>
                <w:b/>
                <w:color w:val="000000" w:themeColor="text1"/>
                <w:sz w:val="20"/>
                <w:szCs w:val="20"/>
              </w:rPr>
              <w:t>Classification</w:t>
            </w:r>
          </w:p>
        </w:tc>
        <w:tc>
          <w:tcPr>
            <w:tcW w:w="6197" w:type="dxa"/>
            <w:vAlign w:val="center"/>
          </w:tcPr>
          <w:p w14:paraId="022532CE" w14:textId="2B5F6F73" w:rsidR="006242DE" w:rsidRPr="006242DE" w:rsidRDefault="00D0037E" w:rsidP="006242DE">
            <w:pPr>
              <w:rPr>
                <w:rFonts w:ascii="Arial" w:hAnsi="Arial" w:cs="Arial"/>
                <w:sz w:val="20"/>
                <w:szCs w:val="20"/>
              </w:rPr>
            </w:pPr>
            <w:r>
              <w:rPr>
                <w:rFonts w:ascii="Arial" w:hAnsi="Arial" w:cs="Arial"/>
                <w:spacing w:val="-2"/>
                <w:sz w:val="20"/>
                <w:szCs w:val="20"/>
              </w:rPr>
              <w:t>Office of the Provost</w:t>
            </w:r>
          </w:p>
        </w:tc>
      </w:tr>
      <w:tr w:rsidR="006242DE" w:rsidRPr="00C138CC" w14:paraId="3786F4A0" w14:textId="77777777" w:rsidTr="3066894D">
        <w:trPr>
          <w:trHeight w:val="460"/>
          <w:jc w:val="center"/>
        </w:trPr>
        <w:tc>
          <w:tcPr>
            <w:tcW w:w="2875" w:type="dxa"/>
            <w:shd w:val="clear" w:color="auto" w:fill="D9D9D9" w:themeFill="background1" w:themeFillShade="D9"/>
            <w:vAlign w:val="center"/>
          </w:tcPr>
          <w:p w14:paraId="45BE6BE8" w14:textId="77777777" w:rsidR="006242DE" w:rsidRPr="006242DE" w:rsidRDefault="006242DE" w:rsidP="006242DE">
            <w:pPr>
              <w:rPr>
                <w:rFonts w:ascii="Arial" w:eastAsia="Malgun Gothic" w:hAnsi="Arial" w:cs="Arial"/>
                <w:b/>
                <w:color w:val="000000" w:themeColor="text1"/>
                <w:sz w:val="20"/>
                <w:szCs w:val="20"/>
              </w:rPr>
            </w:pPr>
            <w:r w:rsidRPr="006242DE">
              <w:rPr>
                <w:rFonts w:ascii="Arial" w:eastAsia="Malgun Gothic" w:hAnsi="Arial" w:cs="Arial"/>
                <w:b/>
                <w:color w:val="000000" w:themeColor="text1"/>
                <w:sz w:val="20"/>
                <w:szCs w:val="20"/>
              </w:rPr>
              <w:t>Position Number</w:t>
            </w:r>
          </w:p>
        </w:tc>
        <w:tc>
          <w:tcPr>
            <w:tcW w:w="6197" w:type="dxa"/>
            <w:vAlign w:val="center"/>
          </w:tcPr>
          <w:p w14:paraId="64BCDA7A" w14:textId="1044BBC0" w:rsidR="006242DE" w:rsidRPr="006242DE" w:rsidRDefault="006242DE" w:rsidP="006242DE">
            <w:pPr>
              <w:rPr>
                <w:rFonts w:ascii="Arial" w:hAnsi="Arial" w:cs="Arial"/>
                <w:sz w:val="20"/>
                <w:szCs w:val="20"/>
              </w:rPr>
            </w:pPr>
            <w:r w:rsidRPr="006242DE">
              <w:rPr>
                <w:rFonts w:ascii="Arial" w:hAnsi="Arial" w:cs="Arial"/>
                <w:sz w:val="20"/>
                <w:szCs w:val="20"/>
              </w:rPr>
              <w:t>000</w:t>
            </w:r>
            <w:r w:rsidR="00376B71">
              <w:rPr>
                <w:rFonts w:ascii="Arial" w:hAnsi="Arial" w:cs="Arial"/>
                <w:sz w:val="20"/>
                <w:szCs w:val="20"/>
              </w:rPr>
              <w:t>63709</w:t>
            </w:r>
          </w:p>
        </w:tc>
      </w:tr>
      <w:tr w:rsidR="006376D0" w:rsidRPr="00C138CC" w14:paraId="338952F8" w14:textId="77777777" w:rsidTr="3066894D">
        <w:trPr>
          <w:trHeight w:val="460"/>
          <w:jc w:val="center"/>
        </w:trPr>
        <w:tc>
          <w:tcPr>
            <w:tcW w:w="2875" w:type="dxa"/>
            <w:shd w:val="clear" w:color="auto" w:fill="D9D9D9" w:themeFill="background1" w:themeFillShade="D9"/>
            <w:vAlign w:val="center"/>
          </w:tcPr>
          <w:p w14:paraId="4F637EB5" w14:textId="77777777" w:rsidR="006376D0" w:rsidRPr="006242DE" w:rsidRDefault="006376D0" w:rsidP="006376D0">
            <w:pPr>
              <w:rPr>
                <w:rFonts w:ascii="Arial" w:eastAsia="Malgun Gothic" w:hAnsi="Arial" w:cs="Arial"/>
                <w:b/>
                <w:color w:val="000000" w:themeColor="text1"/>
                <w:sz w:val="20"/>
                <w:szCs w:val="20"/>
              </w:rPr>
            </w:pPr>
            <w:r w:rsidRPr="006242DE">
              <w:rPr>
                <w:rFonts w:ascii="Arial" w:eastAsia="Malgun Gothic" w:hAnsi="Arial" w:cs="Arial"/>
                <w:b/>
                <w:color w:val="000000" w:themeColor="text1"/>
                <w:sz w:val="20"/>
                <w:szCs w:val="20"/>
              </w:rPr>
              <w:t>Reports To</w:t>
            </w:r>
          </w:p>
        </w:tc>
        <w:tc>
          <w:tcPr>
            <w:tcW w:w="6197" w:type="dxa"/>
            <w:vAlign w:val="center"/>
          </w:tcPr>
          <w:p w14:paraId="41CC81DE" w14:textId="48D0E9FF" w:rsidR="006376D0" w:rsidRPr="006242DE" w:rsidRDefault="006376D0" w:rsidP="006376D0">
            <w:pPr>
              <w:rPr>
                <w:rFonts w:ascii="Arial" w:hAnsi="Arial" w:cs="Arial"/>
                <w:sz w:val="20"/>
                <w:szCs w:val="20"/>
              </w:rPr>
            </w:pPr>
            <w:r>
              <w:rPr>
                <w:rFonts w:ascii="Arial" w:hAnsi="Arial" w:cs="Arial"/>
                <w:sz w:val="20"/>
                <w:szCs w:val="20"/>
              </w:rPr>
              <w:t>Dean (Online Strategy)</w:t>
            </w:r>
          </w:p>
        </w:tc>
      </w:tr>
      <w:tr w:rsidR="006376D0" w:rsidRPr="00C138CC" w14:paraId="1D60EE41" w14:textId="77777777" w:rsidTr="3066894D">
        <w:trPr>
          <w:trHeight w:val="460"/>
          <w:jc w:val="center"/>
        </w:trPr>
        <w:tc>
          <w:tcPr>
            <w:tcW w:w="2875" w:type="dxa"/>
            <w:shd w:val="clear" w:color="auto" w:fill="D9D9D9" w:themeFill="background1" w:themeFillShade="D9"/>
            <w:vAlign w:val="center"/>
          </w:tcPr>
          <w:p w14:paraId="3640BDAD" w14:textId="77777777" w:rsidR="006376D0" w:rsidRPr="006242DE" w:rsidRDefault="006376D0" w:rsidP="006376D0">
            <w:pPr>
              <w:rPr>
                <w:rFonts w:ascii="Arial" w:eastAsia="Malgun Gothic" w:hAnsi="Arial" w:cs="Arial"/>
                <w:b/>
                <w:color w:val="000000" w:themeColor="text1"/>
                <w:sz w:val="20"/>
                <w:szCs w:val="20"/>
              </w:rPr>
            </w:pPr>
            <w:r w:rsidRPr="006242DE">
              <w:rPr>
                <w:rFonts w:ascii="Arial" w:eastAsia="Malgun Gothic" w:hAnsi="Arial" w:cs="Arial"/>
                <w:b/>
                <w:color w:val="000000" w:themeColor="text1"/>
                <w:sz w:val="20"/>
                <w:szCs w:val="20"/>
              </w:rPr>
              <w:t>Employment Type</w:t>
            </w:r>
          </w:p>
        </w:tc>
        <w:tc>
          <w:tcPr>
            <w:tcW w:w="6197" w:type="dxa"/>
            <w:vAlign w:val="center"/>
          </w:tcPr>
          <w:p w14:paraId="3417BF21" w14:textId="44666C0D" w:rsidR="006376D0" w:rsidRPr="006242DE" w:rsidRDefault="006376D0" w:rsidP="006376D0">
            <w:pPr>
              <w:rPr>
                <w:rFonts w:ascii="Arial" w:hAnsi="Arial" w:cs="Arial"/>
                <w:color w:val="FF0000"/>
                <w:sz w:val="20"/>
                <w:szCs w:val="20"/>
              </w:rPr>
            </w:pPr>
            <w:r w:rsidRPr="00CF0CA6">
              <w:rPr>
                <w:rFonts w:ascii="Arial" w:hAnsi="Arial" w:cs="Arial"/>
                <w:sz w:val="20"/>
                <w:szCs w:val="20"/>
              </w:rPr>
              <w:t>Continuing</w:t>
            </w:r>
          </w:p>
        </w:tc>
      </w:tr>
    </w:tbl>
    <w:p w14:paraId="2AA0FD45" w14:textId="77777777" w:rsidR="00E449D4" w:rsidRPr="00C138CC" w:rsidRDefault="00E449D4" w:rsidP="003A21F6">
      <w:pPr>
        <w:tabs>
          <w:tab w:val="left" w:pos="1276"/>
        </w:tabs>
        <w:jc w:val="both"/>
        <w:rPr>
          <w:rFonts w:ascii="Arial" w:hAnsi="Arial" w:cs="Arial"/>
          <w:sz w:val="20"/>
          <w:szCs w:val="20"/>
          <w:lang w:eastAsia="en-US"/>
        </w:rPr>
      </w:pPr>
    </w:p>
    <w:p w14:paraId="7D2108BE" w14:textId="77777777" w:rsidR="00E449D4" w:rsidRPr="00C138CC" w:rsidRDefault="00E449D4" w:rsidP="00AE0C11">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2C801D0A" w14:textId="4B9D224F" w:rsidR="00A36967" w:rsidRDefault="00A36967" w:rsidP="00F41567">
      <w:pPr>
        <w:spacing w:before="120" w:line="276" w:lineRule="auto"/>
        <w:ind w:left="720"/>
        <w:jc w:val="both"/>
        <w:rPr>
          <w:rFonts w:ascii="Arial" w:eastAsia="Arial" w:hAnsi="Arial" w:cs="Arial"/>
          <w:sz w:val="20"/>
          <w:szCs w:val="20"/>
        </w:rPr>
      </w:pPr>
      <w:r w:rsidRPr="00A36967">
        <w:rPr>
          <w:rFonts w:ascii="Arial" w:eastAsia="Arial" w:hAnsi="Arial" w:cs="Arial"/>
          <w:sz w:val="20"/>
          <w:szCs w:val="20"/>
        </w:rPr>
        <w:t xml:space="preserve">The Senior Learning Designer (Quality and Support) provides strategic leadership in quality assurance and compliance for On-demand offerings within the Online Strategy Unit (OSU). This role leads a team of </w:t>
      </w:r>
      <w:r w:rsidR="12FC0CF5" w:rsidRPr="19688BE9">
        <w:rPr>
          <w:rFonts w:ascii="Arial" w:eastAsia="Arial" w:hAnsi="Arial" w:cs="Arial"/>
          <w:sz w:val="20"/>
          <w:szCs w:val="20"/>
        </w:rPr>
        <w:t xml:space="preserve">Learning Designers and Learning </w:t>
      </w:r>
      <w:r w:rsidRPr="00A36967">
        <w:rPr>
          <w:rFonts w:ascii="Arial" w:eastAsia="Arial" w:hAnsi="Arial" w:cs="Arial"/>
          <w:sz w:val="20"/>
          <w:szCs w:val="20"/>
        </w:rPr>
        <w:t xml:space="preserve">Design Support Officers and contributes to the broader learning design agenda by driving the </w:t>
      </w:r>
      <w:r w:rsidR="59B50917" w:rsidRPr="19688BE9">
        <w:rPr>
          <w:rFonts w:ascii="Arial" w:eastAsia="Arial" w:hAnsi="Arial" w:cs="Arial"/>
          <w:sz w:val="20"/>
          <w:szCs w:val="20"/>
        </w:rPr>
        <w:t>development and implementation of a quality assurance strategy for On-demand programs. Ensuring consistent</w:t>
      </w:r>
      <w:r w:rsidR="2CF284F5" w:rsidRPr="19688BE9">
        <w:rPr>
          <w:rFonts w:ascii="Arial" w:eastAsia="Arial" w:hAnsi="Arial" w:cs="Arial"/>
          <w:sz w:val="20"/>
          <w:szCs w:val="20"/>
        </w:rPr>
        <w:t xml:space="preserve"> application to </w:t>
      </w:r>
      <w:r w:rsidR="59B50917" w:rsidRPr="19688BE9">
        <w:rPr>
          <w:rFonts w:ascii="Arial" w:eastAsia="Arial" w:hAnsi="Arial" w:cs="Arial"/>
          <w:sz w:val="20"/>
          <w:szCs w:val="20"/>
        </w:rPr>
        <w:t xml:space="preserve">the design, delivery and review stages </w:t>
      </w:r>
      <w:r w:rsidRPr="00A36967">
        <w:rPr>
          <w:rFonts w:ascii="Arial" w:eastAsia="Arial" w:hAnsi="Arial" w:cs="Arial"/>
          <w:sz w:val="20"/>
          <w:szCs w:val="20"/>
        </w:rPr>
        <w:t>of projects and program initiatives that advance Griffith’s Online Strategy.</w:t>
      </w:r>
    </w:p>
    <w:p w14:paraId="62E0AE94" w14:textId="77777777" w:rsidR="00A36967" w:rsidRPr="00A36967" w:rsidRDefault="00A36967" w:rsidP="00AE0C11">
      <w:pPr>
        <w:spacing w:line="276" w:lineRule="auto"/>
        <w:ind w:left="720"/>
        <w:jc w:val="both"/>
        <w:rPr>
          <w:rFonts w:ascii="Arial" w:eastAsia="Arial" w:hAnsi="Arial" w:cs="Arial"/>
          <w:sz w:val="20"/>
          <w:szCs w:val="20"/>
        </w:rPr>
      </w:pPr>
    </w:p>
    <w:p w14:paraId="32C107DA" w14:textId="3D96BE8E" w:rsidR="003C7F8F" w:rsidRDefault="00A36967" w:rsidP="00AE0C11">
      <w:pPr>
        <w:spacing w:line="276" w:lineRule="auto"/>
        <w:ind w:left="720"/>
        <w:jc w:val="both"/>
        <w:rPr>
          <w:rFonts w:ascii="Arial" w:eastAsia="Arial" w:hAnsi="Arial" w:cs="Arial"/>
          <w:sz w:val="20"/>
          <w:szCs w:val="20"/>
        </w:rPr>
      </w:pPr>
      <w:r w:rsidRPr="00A36967">
        <w:rPr>
          <w:rFonts w:ascii="Arial" w:eastAsia="Arial" w:hAnsi="Arial" w:cs="Arial"/>
          <w:sz w:val="20"/>
          <w:szCs w:val="20"/>
        </w:rPr>
        <w:t>As the primary point of contact for quality and compliance in learning and teaching matters within OSU, the position requires deep expertise in higher education pedagogy, curriculum and assessment principles, and regulatory standards. The incumbent will lead the development and execution of a comprehensive quality assurance strategy for On-demand offerings, underpinned by evidence-based practice, stakeholder collaboration, and a commitment to excellence in student learning outcomes. Operating with a high level of professionalism and strategic influence, the role works collaboratively across academic and professional teams to uphold educational standards, foster innovation, and transform Griffith’s approach to online learning</w:t>
      </w:r>
      <w:r>
        <w:rPr>
          <w:rFonts w:ascii="Arial" w:eastAsia="Arial" w:hAnsi="Arial" w:cs="Arial"/>
          <w:sz w:val="20"/>
          <w:szCs w:val="20"/>
        </w:rPr>
        <w:t xml:space="preserve">, </w:t>
      </w:r>
      <w:r w:rsidRPr="00A36967">
        <w:rPr>
          <w:rFonts w:ascii="Arial" w:eastAsia="Arial" w:hAnsi="Arial" w:cs="Arial"/>
          <w:sz w:val="20"/>
          <w:szCs w:val="20"/>
        </w:rPr>
        <w:t>ensuring high-quality student and graduate outcomes.</w:t>
      </w:r>
    </w:p>
    <w:p w14:paraId="729482D6" w14:textId="77777777" w:rsidR="00F41567" w:rsidRDefault="00F41567" w:rsidP="00AE0C11">
      <w:pPr>
        <w:spacing w:line="276" w:lineRule="auto"/>
        <w:ind w:left="720"/>
        <w:jc w:val="both"/>
        <w:rPr>
          <w:rFonts w:ascii="Arial" w:hAnsi="Arial" w:cs="Arial"/>
          <w:sz w:val="20"/>
          <w:szCs w:val="20"/>
        </w:rPr>
      </w:pPr>
    </w:p>
    <w:p w14:paraId="3C0D7325" w14:textId="0048D677" w:rsidR="00E449D4" w:rsidRPr="00C138CC" w:rsidRDefault="00B11066" w:rsidP="00AE0C11">
      <w:pPr>
        <w:pStyle w:val="Heading2"/>
        <w:numPr>
          <w:ilvl w:val="0"/>
          <w:numId w:val="5"/>
        </w:numPr>
        <w:tabs>
          <w:tab w:val="left" w:pos="862"/>
        </w:tabs>
        <w:spacing w:before="0" w:line="276" w:lineRule="auto"/>
        <w:jc w:val="both"/>
        <w:rPr>
          <w:rFonts w:ascii="Arial" w:hAnsi="Arial" w:cs="Arial"/>
          <w:color w:val="E20917"/>
        </w:rPr>
      </w:pPr>
      <w:r>
        <w:rPr>
          <w:rFonts w:ascii="Arial" w:hAnsi="Arial" w:cs="Arial"/>
          <w:color w:val="E20917"/>
        </w:rPr>
        <w:t xml:space="preserve"> </w:t>
      </w:r>
      <w:r>
        <w:rPr>
          <w:rFonts w:ascii="Arial" w:hAnsi="Arial" w:cs="Arial"/>
          <w:color w:val="E20917"/>
        </w:rPr>
        <w:tab/>
      </w:r>
      <w:r w:rsidR="00E449D4" w:rsidRPr="00C138CC">
        <w:rPr>
          <w:rFonts w:ascii="Arial" w:hAnsi="Arial" w:cs="Arial"/>
          <w:color w:val="E20917"/>
        </w:rPr>
        <w:t>Eligibility Requirements</w:t>
      </w:r>
    </w:p>
    <w:p w14:paraId="2F70DEB4" w14:textId="19F3EBCD" w:rsidR="006242DE" w:rsidRPr="003E32B8" w:rsidRDefault="006242DE" w:rsidP="0089633D">
      <w:pPr>
        <w:pStyle w:val="ListParagraph"/>
        <w:numPr>
          <w:ilvl w:val="1"/>
          <w:numId w:val="6"/>
        </w:numPr>
        <w:tabs>
          <w:tab w:val="left" w:pos="1321"/>
        </w:tabs>
        <w:spacing w:before="120" w:line="276" w:lineRule="auto"/>
        <w:ind w:left="1315" w:right="1089" w:hanging="357"/>
        <w:jc w:val="both"/>
        <w:rPr>
          <w:rFonts w:ascii="Arial" w:hAnsi="Arial" w:cs="Arial"/>
          <w:color w:val="E10917"/>
          <w:sz w:val="20"/>
        </w:rPr>
      </w:pPr>
      <w:r w:rsidRPr="006242DE">
        <w:rPr>
          <w:rFonts w:ascii="Arial" w:hAnsi="Arial" w:cs="Arial"/>
          <w:sz w:val="20"/>
        </w:rPr>
        <w:t>The occupant of this position will hold postgraduate qualifications and extensive relevant experience</w:t>
      </w:r>
      <w:r w:rsidR="006559D1">
        <w:rPr>
          <w:rFonts w:ascii="Arial" w:hAnsi="Arial" w:cs="Arial"/>
          <w:sz w:val="20"/>
        </w:rPr>
        <w:t xml:space="preserve"> in quality assurance and management</w:t>
      </w:r>
      <w:r w:rsidR="00B35A3F">
        <w:rPr>
          <w:rFonts w:ascii="Arial" w:hAnsi="Arial" w:cs="Arial"/>
          <w:sz w:val="20"/>
        </w:rPr>
        <w:t xml:space="preserve"> in higher education</w:t>
      </w:r>
      <w:r w:rsidRPr="006242DE">
        <w:rPr>
          <w:rFonts w:ascii="Arial" w:hAnsi="Arial" w:cs="Arial"/>
          <w:sz w:val="20"/>
        </w:rPr>
        <w:t>, or an equivalent combination of relevant training, skills, knowledge, and experience.</w:t>
      </w:r>
    </w:p>
    <w:p w14:paraId="3520C65B" w14:textId="77777777" w:rsidR="003E32B8" w:rsidRPr="003E32B8" w:rsidRDefault="003E32B8" w:rsidP="00AE0C11">
      <w:pPr>
        <w:tabs>
          <w:tab w:val="left" w:pos="1321"/>
        </w:tabs>
        <w:spacing w:line="276" w:lineRule="auto"/>
        <w:ind w:left="958" w:right="1089"/>
        <w:jc w:val="both"/>
        <w:rPr>
          <w:rFonts w:ascii="Arial" w:hAnsi="Arial" w:cs="Arial"/>
          <w:color w:val="E10917"/>
          <w:sz w:val="20"/>
        </w:rPr>
      </w:pPr>
    </w:p>
    <w:p w14:paraId="35D0314E" w14:textId="7ED78C1B" w:rsidR="00E449D4" w:rsidRPr="00C138CC" w:rsidRDefault="00E449D4" w:rsidP="00AE0C11">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440E1964" w14:textId="4E84E50C" w:rsidR="0068595C" w:rsidRPr="0068595C" w:rsidRDefault="0068595C" w:rsidP="00F41567">
      <w:pPr>
        <w:spacing w:before="120" w:line="276" w:lineRule="auto"/>
        <w:ind w:right="947"/>
        <w:jc w:val="both"/>
        <w:rPr>
          <w:rFonts w:ascii="Arial" w:hAnsi="Arial" w:cs="Arial"/>
          <w:b/>
          <w:sz w:val="20"/>
          <w:szCs w:val="20"/>
        </w:rPr>
      </w:pPr>
      <w:r w:rsidRPr="0068595C">
        <w:rPr>
          <w:rFonts w:ascii="Arial" w:hAnsi="Arial" w:cs="Arial"/>
          <w:b/>
          <w:sz w:val="20"/>
          <w:szCs w:val="20"/>
        </w:rPr>
        <w:tab/>
        <w:t>Quality Assurance &amp; Governance</w:t>
      </w:r>
    </w:p>
    <w:p w14:paraId="6BDD26FB" w14:textId="15BB1ABD" w:rsidR="006242DE" w:rsidRPr="00A22BD8" w:rsidRDefault="000B4EF7" w:rsidP="00F41567">
      <w:pPr>
        <w:pStyle w:val="ListParagraph"/>
        <w:numPr>
          <w:ilvl w:val="0"/>
          <w:numId w:val="8"/>
        </w:numPr>
        <w:spacing w:before="120" w:line="276" w:lineRule="auto"/>
        <w:ind w:left="1134" w:right="947" w:hanging="357"/>
        <w:jc w:val="both"/>
        <w:rPr>
          <w:rFonts w:ascii="Arial" w:eastAsia="Arial" w:hAnsi="Arial" w:cs="Arial"/>
          <w:sz w:val="20"/>
          <w:szCs w:val="20"/>
        </w:rPr>
      </w:pPr>
      <w:r w:rsidRPr="00A22BD8">
        <w:rPr>
          <w:rFonts w:ascii="Arial" w:eastAsia="Arial" w:hAnsi="Arial" w:cs="Arial"/>
          <w:sz w:val="20"/>
          <w:szCs w:val="20"/>
        </w:rPr>
        <w:t>Lead</w:t>
      </w:r>
      <w:r w:rsidR="2DDCD23B" w:rsidRPr="00A22BD8">
        <w:rPr>
          <w:rFonts w:ascii="Arial" w:eastAsia="Arial" w:hAnsi="Arial" w:cs="Arial"/>
          <w:sz w:val="20"/>
          <w:szCs w:val="20"/>
        </w:rPr>
        <w:t xml:space="preserve"> the development, implementation and continuous improvement of a comprehensive quality management system,</w:t>
      </w:r>
      <w:r w:rsidR="00565C5B" w:rsidRPr="00A22BD8">
        <w:rPr>
          <w:rFonts w:ascii="Arial" w:eastAsia="Arial" w:hAnsi="Arial" w:cs="Arial"/>
          <w:sz w:val="20"/>
          <w:szCs w:val="20"/>
        </w:rPr>
        <w:t xml:space="preserve"> including</w:t>
      </w:r>
      <w:r w:rsidR="2DDCD23B" w:rsidRPr="00A22BD8">
        <w:rPr>
          <w:rFonts w:ascii="Arial" w:eastAsia="Arial" w:hAnsi="Arial" w:cs="Arial"/>
          <w:sz w:val="20"/>
          <w:szCs w:val="20"/>
        </w:rPr>
        <w:t xml:space="preserve"> policy, procedure, and work instructions, ensuring alignment with TEQSA standards</w:t>
      </w:r>
      <w:r w:rsidR="00A22BD8">
        <w:rPr>
          <w:rFonts w:ascii="Arial" w:eastAsia="Arial" w:hAnsi="Arial" w:cs="Arial"/>
          <w:sz w:val="20"/>
          <w:szCs w:val="20"/>
        </w:rPr>
        <w:t xml:space="preserve">, </w:t>
      </w:r>
      <w:r w:rsidR="2DDCD23B" w:rsidRPr="00A22BD8">
        <w:rPr>
          <w:rFonts w:ascii="Arial" w:eastAsia="Arial" w:hAnsi="Arial" w:cs="Arial"/>
          <w:sz w:val="20"/>
          <w:szCs w:val="20"/>
        </w:rPr>
        <w:t xml:space="preserve">regulatory requirements, university policies and best practice guidelines. </w:t>
      </w:r>
    </w:p>
    <w:p w14:paraId="27483A20" w14:textId="0F5F6D3E" w:rsidR="000B4EF7" w:rsidRPr="00A22BD8" w:rsidRDefault="000B4EF7" w:rsidP="00F41567">
      <w:pPr>
        <w:pStyle w:val="ListParagraph"/>
        <w:numPr>
          <w:ilvl w:val="0"/>
          <w:numId w:val="8"/>
        </w:numPr>
        <w:spacing w:before="120" w:line="276" w:lineRule="auto"/>
        <w:ind w:left="1134" w:right="947" w:hanging="357"/>
        <w:jc w:val="both"/>
        <w:rPr>
          <w:rFonts w:ascii="Arial" w:eastAsia="Arial" w:hAnsi="Arial" w:cs="Arial"/>
          <w:sz w:val="20"/>
          <w:szCs w:val="20"/>
        </w:rPr>
      </w:pPr>
      <w:r w:rsidRPr="00A22BD8">
        <w:rPr>
          <w:rFonts w:ascii="Arial" w:eastAsia="Arial" w:hAnsi="Arial" w:cs="Arial"/>
          <w:sz w:val="20"/>
          <w:szCs w:val="20"/>
        </w:rPr>
        <w:t xml:space="preserve">Support risk management and compliance activities, including </w:t>
      </w:r>
      <w:r w:rsidR="00082A07" w:rsidRPr="00A22BD8">
        <w:rPr>
          <w:rFonts w:ascii="Arial" w:eastAsia="Arial" w:hAnsi="Arial" w:cs="Arial"/>
          <w:sz w:val="20"/>
          <w:szCs w:val="20"/>
        </w:rPr>
        <w:t xml:space="preserve">audit </w:t>
      </w:r>
      <w:r w:rsidRPr="00A22BD8">
        <w:rPr>
          <w:rFonts w:ascii="Arial" w:eastAsia="Arial" w:hAnsi="Arial" w:cs="Arial"/>
          <w:sz w:val="20"/>
          <w:szCs w:val="20"/>
        </w:rPr>
        <w:t xml:space="preserve">readiness, </w:t>
      </w:r>
      <w:r w:rsidRPr="00A22BD8">
        <w:rPr>
          <w:rFonts w:ascii="Arial" w:eastAsia="Arial" w:hAnsi="Arial" w:cs="Arial"/>
          <w:sz w:val="20"/>
          <w:szCs w:val="20"/>
        </w:rPr>
        <w:lastRenderedPageBreak/>
        <w:t>accreditation processes and pilot evaluations, in accordance with guidelines, regulatory requirements and university policies.</w:t>
      </w:r>
    </w:p>
    <w:p w14:paraId="311C5727" w14:textId="3E885551" w:rsidR="000B4EF7" w:rsidRPr="00067CB9" w:rsidRDefault="00067CB9" w:rsidP="00F41567">
      <w:pPr>
        <w:tabs>
          <w:tab w:val="left" w:pos="1320"/>
        </w:tabs>
        <w:spacing w:before="120" w:line="276" w:lineRule="auto"/>
        <w:ind w:left="709" w:right="947"/>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Inclusive &amp; Accessible Learning</w:t>
      </w:r>
    </w:p>
    <w:p w14:paraId="41CD488A" w14:textId="6BB5C642" w:rsidR="006242DE" w:rsidRPr="00C81FFD" w:rsidRDefault="67E6DD75" w:rsidP="00F41567">
      <w:pPr>
        <w:pStyle w:val="ListParagraph"/>
        <w:numPr>
          <w:ilvl w:val="2"/>
          <w:numId w:val="7"/>
        </w:numPr>
        <w:tabs>
          <w:tab w:val="left" w:pos="1180"/>
          <w:tab w:val="left" w:pos="1181"/>
        </w:tabs>
        <w:spacing w:before="120" w:line="276" w:lineRule="auto"/>
        <w:ind w:right="947"/>
        <w:jc w:val="both"/>
        <w:rPr>
          <w:rFonts w:ascii="Arial" w:eastAsia="Arial" w:hAnsi="Arial" w:cs="Arial"/>
          <w:color w:val="000000" w:themeColor="text1"/>
          <w:sz w:val="20"/>
          <w:szCs w:val="20"/>
        </w:rPr>
      </w:pPr>
      <w:r w:rsidRPr="3066894D">
        <w:rPr>
          <w:rFonts w:ascii="Arial" w:eastAsia="Arial" w:hAnsi="Arial" w:cs="Arial"/>
          <w:color w:val="000000" w:themeColor="text1"/>
          <w:sz w:val="20"/>
          <w:szCs w:val="20"/>
        </w:rPr>
        <w:t>E</w:t>
      </w:r>
      <w:r w:rsidR="2DDCD23B" w:rsidRPr="3066894D">
        <w:rPr>
          <w:rFonts w:ascii="Arial" w:eastAsia="Arial" w:hAnsi="Arial" w:cs="Arial"/>
          <w:color w:val="000000" w:themeColor="text1"/>
          <w:sz w:val="20"/>
          <w:szCs w:val="20"/>
        </w:rPr>
        <w:t>nsur</w:t>
      </w:r>
      <w:r w:rsidR="00067CB9">
        <w:rPr>
          <w:rFonts w:ascii="Arial" w:eastAsia="Arial" w:hAnsi="Arial" w:cs="Arial"/>
          <w:color w:val="000000" w:themeColor="text1"/>
          <w:sz w:val="20"/>
          <w:szCs w:val="20"/>
        </w:rPr>
        <w:t>e</w:t>
      </w:r>
      <w:r w:rsidR="2DDCD23B" w:rsidRPr="3066894D">
        <w:rPr>
          <w:rFonts w:ascii="Arial" w:eastAsia="Arial" w:hAnsi="Arial" w:cs="Arial"/>
          <w:color w:val="000000" w:themeColor="text1"/>
          <w:sz w:val="20"/>
          <w:szCs w:val="20"/>
        </w:rPr>
        <w:t xml:space="preserve"> </w:t>
      </w:r>
      <w:r w:rsidR="1DD9EA9A" w:rsidRPr="3066894D">
        <w:rPr>
          <w:rFonts w:ascii="Arial" w:eastAsia="Arial" w:hAnsi="Arial" w:cs="Arial"/>
          <w:color w:val="000000" w:themeColor="text1"/>
          <w:sz w:val="20"/>
          <w:szCs w:val="20"/>
        </w:rPr>
        <w:t>the i</w:t>
      </w:r>
      <w:r w:rsidR="2DDCD23B" w:rsidRPr="3066894D">
        <w:rPr>
          <w:rFonts w:ascii="Arial" w:eastAsia="Arial" w:hAnsi="Arial" w:cs="Arial"/>
          <w:color w:val="000000" w:themeColor="text1"/>
          <w:sz w:val="20"/>
          <w:szCs w:val="20"/>
        </w:rPr>
        <w:t>ntegration of Universal Design for Learning standards in OSU design,</w:t>
      </w:r>
      <w:r w:rsidR="00A22BD8">
        <w:rPr>
          <w:rFonts w:ascii="Arial" w:eastAsia="Arial" w:hAnsi="Arial" w:cs="Arial"/>
          <w:color w:val="000000" w:themeColor="text1"/>
          <w:sz w:val="20"/>
          <w:szCs w:val="20"/>
        </w:rPr>
        <w:t xml:space="preserve"> to </w:t>
      </w:r>
      <w:r w:rsidR="2DDCD23B" w:rsidRPr="3066894D">
        <w:rPr>
          <w:rFonts w:ascii="Arial" w:eastAsia="Arial" w:hAnsi="Arial" w:cs="Arial"/>
          <w:color w:val="000000" w:themeColor="text1"/>
          <w:sz w:val="20"/>
          <w:szCs w:val="20"/>
        </w:rPr>
        <w:t>promot</w:t>
      </w:r>
      <w:r w:rsidR="00A22BD8">
        <w:rPr>
          <w:rFonts w:ascii="Arial" w:eastAsia="Arial" w:hAnsi="Arial" w:cs="Arial"/>
          <w:color w:val="000000" w:themeColor="text1"/>
          <w:sz w:val="20"/>
          <w:szCs w:val="20"/>
        </w:rPr>
        <w:t>e</w:t>
      </w:r>
      <w:r w:rsidR="2DDCD23B" w:rsidRPr="3066894D">
        <w:rPr>
          <w:rFonts w:ascii="Arial" w:eastAsia="Arial" w:hAnsi="Arial" w:cs="Arial"/>
          <w:color w:val="000000" w:themeColor="text1"/>
          <w:sz w:val="20"/>
          <w:szCs w:val="20"/>
        </w:rPr>
        <w:t xml:space="preserve"> inclusive and accessible learning experiences</w:t>
      </w:r>
      <w:r w:rsidR="2DDCD23B" w:rsidRPr="3066894D">
        <w:rPr>
          <w:rFonts w:ascii="Arial" w:eastAsia="Arial" w:hAnsi="Arial" w:cs="Arial"/>
          <w:color w:val="D13438"/>
          <w:sz w:val="20"/>
          <w:szCs w:val="20"/>
          <w:u w:val="single"/>
        </w:rPr>
        <w:t>.</w:t>
      </w:r>
    </w:p>
    <w:p w14:paraId="4CEFB1FC" w14:textId="47E28D6C" w:rsidR="00C81FFD" w:rsidRPr="00C81FFD" w:rsidRDefault="00C81FFD" w:rsidP="00F41567">
      <w:pPr>
        <w:spacing w:before="120" w:line="276" w:lineRule="auto"/>
        <w:ind w:left="709" w:right="947"/>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Strategic Program Oversight</w:t>
      </w:r>
    </w:p>
    <w:p w14:paraId="19E82BC5" w14:textId="7703AA85" w:rsidR="006242DE" w:rsidRPr="006242DE" w:rsidRDefault="00B821C3" w:rsidP="00F41567">
      <w:pPr>
        <w:pStyle w:val="ListParagraph"/>
        <w:numPr>
          <w:ilvl w:val="2"/>
          <w:numId w:val="7"/>
        </w:numPr>
        <w:tabs>
          <w:tab w:val="left" w:pos="1180"/>
          <w:tab w:val="left" w:pos="1181"/>
        </w:tabs>
        <w:spacing w:before="120" w:line="276" w:lineRule="auto"/>
        <w:ind w:right="947"/>
        <w:jc w:val="both"/>
        <w:rPr>
          <w:rFonts w:ascii="Arial" w:eastAsia="Arial" w:hAnsi="Arial" w:cs="Arial"/>
          <w:color w:val="000000" w:themeColor="text1"/>
          <w:sz w:val="20"/>
          <w:szCs w:val="20"/>
        </w:rPr>
      </w:pPr>
      <w:r>
        <w:rPr>
          <w:rFonts w:ascii="Arial" w:eastAsia="Arial" w:hAnsi="Arial" w:cs="Arial"/>
          <w:color w:val="000000" w:themeColor="text1"/>
          <w:sz w:val="20"/>
          <w:szCs w:val="20"/>
        </w:rPr>
        <w:t>Provide leadership for</w:t>
      </w:r>
      <w:r w:rsidR="2DDCD23B" w:rsidRPr="3066894D">
        <w:rPr>
          <w:rFonts w:ascii="Arial" w:eastAsia="Arial" w:hAnsi="Arial" w:cs="Arial"/>
          <w:color w:val="000000" w:themeColor="text1"/>
          <w:sz w:val="20"/>
          <w:szCs w:val="20"/>
        </w:rPr>
        <w:t xml:space="preserve"> course and program maintenance</w:t>
      </w:r>
      <w:r w:rsidR="000136FB">
        <w:rPr>
          <w:rFonts w:ascii="Arial" w:eastAsia="Arial" w:hAnsi="Arial" w:cs="Arial"/>
          <w:color w:val="000000" w:themeColor="text1"/>
          <w:sz w:val="20"/>
          <w:szCs w:val="20"/>
        </w:rPr>
        <w:t xml:space="preserve"> cycles</w:t>
      </w:r>
      <w:r w:rsidR="2DDCD23B" w:rsidRPr="3066894D">
        <w:rPr>
          <w:rFonts w:ascii="Arial" w:eastAsia="Arial" w:hAnsi="Arial" w:cs="Arial"/>
          <w:color w:val="000000" w:themeColor="text1"/>
          <w:sz w:val="20"/>
          <w:szCs w:val="20"/>
        </w:rPr>
        <w:t xml:space="preserve">, including </w:t>
      </w:r>
      <w:r w:rsidR="000136FB">
        <w:rPr>
          <w:rFonts w:ascii="Arial" w:eastAsia="Arial" w:hAnsi="Arial" w:cs="Arial"/>
          <w:color w:val="000000" w:themeColor="text1"/>
          <w:sz w:val="20"/>
          <w:szCs w:val="20"/>
        </w:rPr>
        <w:t xml:space="preserve">long term </w:t>
      </w:r>
      <w:r w:rsidR="2DDCD23B" w:rsidRPr="3066894D">
        <w:rPr>
          <w:rFonts w:ascii="Arial" w:eastAsia="Arial" w:hAnsi="Arial" w:cs="Arial"/>
          <w:color w:val="000000" w:themeColor="text1"/>
          <w:sz w:val="20"/>
          <w:szCs w:val="20"/>
        </w:rPr>
        <w:t>planning</w:t>
      </w:r>
      <w:r w:rsidR="002C0F1D">
        <w:rPr>
          <w:rFonts w:ascii="Arial" w:eastAsia="Arial" w:hAnsi="Arial" w:cs="Arial"/>
          <w:color w:val="000000" w:themeColor="text1"/>
          <w:sz w:val="20"/>
          <w:szCs w:val="20"/>
        </w:rPr>
        <w:t xml:space="preserve"> and </w:t>
      </w:r>
      <w:r w:rsidR="004A3353">
        <w:rPr>
          <w:rFonts w:ascii="Arial" w:eastAsia="Arial" w:hAnsi="Arial" w:cs="Arial"/>
          <w:color w:val="000000" w:themeColor="text1"/>
          <w:sz w:val="20"/>
          <w:szCs w:val="20"/>
        </w:rPr>
        <w:t>review process</w:t>
      </w:r>
      <w:r w:rsidR="00137EE0">
        <w:rPr>
          <w:rFonts w:ascii="Arial" w:eastAsia="Arial" w:hAnsi="Arial" w:cs="Arial"/>
          <w:color w:val="000000" w:themeColor="text1"/>
          <w:sz w:val="20"/>
          <w:szCs w:val="20"/>
        </w:rPr>
        <w:t>.</w:t>
      </w:r>
    </w:p>
    <w:p w14:paraId="2E89CBFC" w14:textId="68D24E78" w:rsidR="006242DE" w:rsidRDefault="2DDCD23B" w:rsidP="00F41567">
      <w:pPr>
        <w:pStyle w:val="ListParagraph"/>
        <w:numPr>
          <w:ilvl w:val="2"/>
          <w:numId w:val="7"/>
        </w:numPr>
        <w:tabs>
          <w:tab w:val="left" w:pos="1180"/>
          <w:tab w:val="left" w:pos="1181"/>
        </w:tabs>
        <w:spacing w:before="120" w:line="276" w:lineRule="auto"/>
        <w:ind w:right="947"/>
        <w:jc w:val="both"/>
        <w:rPr>
          <w:rFonts w:ascii="Arial" w:eastAsia="Arial" w:hAnsi="Arial" w:cs="Arial"/>
          <w:color w:val="000000" w:themeColor="text1"/>
          <w:sz w:val="20"/>
          <w:szCs w:val="20"/>
        </w:rPr>
      </w:pPr>
      <w:r w:rsidRPr="3066894D">
        <w:rPr>
          <w:rFonts w:ascii="Arial" w:eastAsia="Arial" w:hAnsi="Arial" w:cs="Arial"/>
          <w:color w:val="000000" w:themeColor="text1"/>
          <w:sz w:val="20"/>
          <w:szCs w:val="20"/>
        </w:rPr>
        <w:t>Monitor and evaluate program and course delivery activities and outcomes, using data-driven approaches to identify areas for improvement and innovation.</w:t>
      </w:r>
    </w:p>
    <w:p w14:paraId="05E617FD" w14:textId="178F7FEA" w:rsidR="00F65007" w:rsidRDefault="000F2501" w:rsidP="00F41567">
      <w:pPr>
        <w:pStyle w:val="ListParagraph"/>
        <w:numPr>
          <w:ilvl w:val="2"/>
          <w:numId w:val="7"/>
        </w:numPr>
        <w:tabs>
          <w:tab w:val="left" w:pos="1320"/>
        </w:tabs>
        <w:spacing w:before="120" w:line="276" w:lineRule="auto"/>
        <w:ind w:right="947"/>
        <w:jc w:val="both"/>
        <w:rPr>
          <w:rFonts w:ascii="Arial" w:hAnsi="Arial" w:cs="Arial"/>
          <w:sz w:val="20"/>
          <w:szCs w:val="20"/>
        </w:rPr>
      </w:pPr>
      <w:r>
        <w:rPr>
          <w:rFonts w:ascii="Arial" w:hAnsi="Arial" w:cs="Arial"/>
          <w:sz w:val="20"/>
          <w:szCs w:val="20"/>
        </w:rPr>
        <w:t xml:space="preserve">Provide strategic </w:t>
      </w:r>
      <w:r w:rsidR="00327F64">
        <w:rPr>
          <w:rFonts w:ascii="Arial" w:hAnsi="Arial" w:cs="Arial"/>
          <w:sz w:val="20"/>
          <w:szCs w:val="20"/>
        </w:rPr>
        <w:t>advice</w:t>
      </w:r>
      <w:r>
        <w:rPr>
          <w:rFonts w:ascii="Arial" w:hAnsi="Arial" w:cs="Arial"/>
          <w:sz w:val="20"/>
          <w:szCs w:val="20"/>
        </w:rPr>
        <w:t xml:space="preserve"> to</w:t>
      </w:r>
      <w:r w:rsidR="00F65007" w:rsidRPr="00E57E8A">
        <w:rPr>
          <w:rFonts w:ascii="Arial" w:hAnsi="Arial" w:cs="Arial"/>
          <w:sz w:val="20"/>
          <w:szCs w:val="20"/>
        </w:rPr>
        <w:t xml:space="preserve"> </w:t>
      </w:r>
      <w:r w:rsidR="00610053">
        <w:rPr>
          <w:rFonts w:ascii="Arial" w:hAnsi="Arial" w:cs="Arial"/>
          <w:sz w:val="20"/>
          <w:szCs w:val="20"/>
        </w:rPr>
        <w:t>advance</w:t>
      </w:r>
      <w:r w:rsidR="00681187">
        <w:rPr>
          <w:rFonts w:ascii="Arial" w:hAnsi="Arial" w:cs="Arial"/>
          <w:sz w:val="20"/>
          <w:szCs w:val="20"/>
        </w:rPr>
        <w:t xml:space="preserve"> </w:t>
      </w:r>
      <w:r w:rsidR="00A63BCC">
        <w:rPr>
          <w:rFonts w:ascii="Arial" w:hAnsi="Arial" w:cs="Arial"/>
          <w:sz w:val="20"/>
          <w:szCs w:val="20"/>
        </w:rPr>
        <w:t xml:space="preserve">the quality of </w:t>
      </w:r>
      <w:r w:rsidR="00681187">
        <w:rPr>
          <w:rFonts w:ascii="Arial" w:hAnsi="Arial" w:cs="Arial"/>
          <w:sz w:val="20"/>
          <w:szCs w:val="20"/>
        </w:rPr>
        <w:t>program</w:t>
      </w:r>
      <w:r w:rsidR="00A63BCC">
        <w:rPr>
          <w:rFonts w:ascii="Arial" w:hAnsi="Arial" w:cs="Arial"/>
          <w:sz w:val="20"/>
          <w:szCs w:val="20"/>
        </w:rPr>
        <w:t xml:space="preserve"> s</w:t>
      </w:r>
      <w:r w:rsidR="00681187">
        <w:rPr>
          <w:rFonts w:ascii="Arial" w:hAnsi="Arial" w:cs="Arial"/>
          <w:sz w:val="20"/>
          <w:szCs w:val="20"/>
        </w:rPr>
        <w:t>tructures</w:t>
      </w:r>
      <w:r w:rsidR="00A63BCC">
        <w:rPr>
          <w:rFonts w:ascii="Arial" w:hAnsi="Arial" w:cs="Arial"/>
          <w:sz w:val="20"/>
          <w:szCs w:val="20"/>
        </w:rPr>
        <w:t xml:space="preserve"> and course</w:t>
      </w:r>
      <w:r w:rsidR="00CF7184">
        <w:rPr>
          <w:rFonts w:ascii="Arial" w:hAnsi="Arial" w:cs="Arial"/>
          <w:sz w:val="20"/>
          <w:szCs w:val="20"/>
        </w:rPr>
        <w:t>s and</w:t>
      </w:r>
      <w:r w:rsidR="00327F64">
        <w:rPr>
          <w:rFonts w:ascii="Arial" w:hAnsi="Arial" w:cs="Arial"/>
          <w:sz w:val="20"/>
          <w:szCs w:val="20"/>
        </w:rPr>
        <w:t xml:space="preserve"> </w:t>
      </w:r>
      <w:r w:rsidR="00CF7184">
        <w:rPr>
          <w:rFonts w:ascii="Arial" w:hAnsi="Arial" w:cs="Arial"/>
          <w:sz w:val="20"/>
          <w:szCs w:val="20"/>
        </w:rPr>
        <w:t xml:space="preserve">enhance the effectiveness of </w:t>
      </w:r>
      <w:r w:rsidR="00327F64">
        <w:rPr>
          <w:rFonts w:ascii="Arial" w:hAnsi="Arial" w:cs="Arial"/>
          <w:sz w:val="20"/>
          <w:szCs w:val="20"/>
        </w:rPr>
        <w:t>teaching and assessment practices</w:t>
      </w:r>
      <w:r w:rsidR="00E040ED">
        <w:rPr>
          <w:rFonts w:ascii="Arial" w:hAnsi="Arial" w:cs="Arial"/>
          <w:sz w:val="20"/>
          <w:szCs w:val="20"/>
        </w:rPr>
        <w:t>,</w:t>
      </w:r>
      <w:r w:rsidR="00327F64">
        <w:rPr>
          <w:rFonts w:ascii="Arial" w:hAnsi="Arial" w:cs="Arial"/>
          <w:sz w:val="20"/>
          <w:szCs w:val="20"/>
        </w:rPr>
        <w:t xml:space="preserve"> </w:t>
      </w:r>
      <w:r w:rsidR="00681187">
        <w:rPr>
          <w:rFonts w:ascii="Arial" w:hAnsi="Arial" w:cs="Arial"/>
          <w:sz w:val="20"/>
          <w:szCs w:val="20"/>
        </w:rPr>
        <w:t>to achieve quality graduate outcomes.</w:t>
      </w:r>
    </w:p>
    <w:p w14:paraId="45BECA75" w14:textId="3D5DDE12" w:rsidR="00AB109D" w:rsidRPr="00AB109D" w:rsidRDefault="00AB109D" w:rsidP="00F41567">
      <w:pPr>
        <w:tabs>
          <w:tab w:val="left" w:pos="1180"/>
          <w:tab w:val="left" w:pos="1181"/>
        </w:tabs>
        <w:spacing w:before="120" w:line="276" w:lineRule="auto"/>
        <w:ind w:left="820" w:right="947"/>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Continuous Improvement</w:t>
      </w:r>
      <w:r w:rsidR="00D72AB1">
        <w:rPr>
          <w:rFonts w:ascii="Arial" w:eastAsia="Arial" w:hAnsi="Arial" w:cs="Arial"/>
          <w:b/>
          <w:bCs/>
          <w:color w:val="000000" w:themeColor="text1"/>
          <w:sz w:val="20"/>
          <w:szCs w:val="20"/>
        </w:rPr>
        <w:t xml:space="preserve"> &amp; Reporting</w:t>
      </w:r>
    </w:p>
    <w:p w14:paraId="78CE6D19" w14:textId="6BA2839A" w:rsidR="00BA1C93" w:rsidRPr="006242DE" w:rsidRDefault="00AB109D" w:rsidP="00F41567">
      <w:pPr>
        <w:pStyle w:val="ListParagraph"/>
        <w:numPr>
          <w:ilvl w:val="2"/>
          <w:numId w:val="7"/>
        </w:numPr>
        <w:tabs>
          <w:tab w:val="left" w:pos="1180"/>
          <w:tab w:val="left" w:pos="1181"/>
        </w:tabs>
        <w:spacing w:before="120" w:line="276" w:lineRule="auto"/>
        <w:ind w:right="947"/>
        <w:jc w:val="both"/>
        <w:rPr>
          <w:rFonts w:ascii="Arial" w:eastAsia="Arial" w:hAnsi="Arial" w:cs="Arial"/>
          <w:color w:val="000000" w:themeColor="text1"/>
          <w:sz w:val="20"/>
          <w:szCs w:val="20"/>
        </w:rPr>
      </w:pPr>
      <w:r>
        <w:rPr>
          <w:rFonts w:ascii="Arial" w:eastAsia="Arial" w:hAnsi="Arial" w:cs="Arial"/>
          <w:color w:val="000000" w:themeColor="text1"/>
          <w:sz w:val="20"/>
          <w:szCs w:val="20"/>
        </w:rPr>
        <w:t>Drive</w:t>
      </w:r>
      <w:r w:rsidR="00BA1C93" w:rsidRPr="3066894D">
        <w:rPr>
          <w:rFonts w:ascii="Arial" w:eastAsia="Arial" w:hAnsi="Arial" w:cs="Arial"/>
          <w:color w:val="000000" w:themeColor="text1"/>
          <w:sz w:val="20"/>
          <w:szCs w:val="20"/>
        </w:rPr>
        <w:t xml:space="preserve"> innovation and continuous improvement</w:t>
      </w:r>
      <w:r w:rsidR="00D72AB1">
        <w:rPr>
          <w:rFonts w:ascii="Arial" w:eastAsia="Arial" w:hAnsi="Arial" w:cs="Arial"/>
          <w:color w:val="000000" w:themeColor="text1"/>
          <w:sz w:val="20"/>
          <w:szCs w:val="20"/>
        </w:rPr>
        <w:t xml:space="preserve"> initiatives</w:t>
      </w:r>
      <w:r w:rsidR="00BA1C93" w:rsidRPr="3066894D">
        <w:rPr>
          <w:rFonts w:ascii="Arial" w:eastAsia="Arial" w:hAnsi="Arial" w:cs="Arial"/>
          <w:color w:val="000000" w:themeColor="text1"/>
          <w:sz w:val="20"/>
          <w:szCs w:val="20"/>
        </w:rPr>
        <w:t xml:space="preserve"> within the OSU, contributing to the enhancement of the student learning and assessment experience through evidence-based practices and stakeholder engagement.</w:t>
      </w:r>
    </w:p>
    <w:p w14:paraId="116517F4" w14:textId="6B9CA568" w:rsidR="006242DE" w:rsidRDefault="2DDCD23B" w:rsidP="00F41567">
      <w:pPr>
        <w:pStyle w:val="ListParagraph"/>
        <w:numPr>
          <w:ilvl w:val="2"/>
          <w:numId w:val="7"/>
        </w:numPr>
        <w:tabs>
          <w:tab w:val="left" w:pos="1180"/>
          <w:tab w:val="left" w:pos="1181"/>
        </w:tabs>
        <w:spacing w:before="120" w:line="276" w:lineRule="auto"/>
        <w:ind w:right="947"/>
        <w:jc w:val="both"/>
        <w:rPr>
          <w:rFonts w:ascii="Arial" w:eastAsia="Arial" w:hAnsi="Arial" w:cs="Arial"/>
          <w:color w:val="000000" w:themeColor="text1"/>
          <w:sz w:val="20"/>
          <w:szCs w:val="20"/>
        </w:rPr>
      </w:pPr>
      <w:r w:rsidRPr="3066894D">
        <w:rPr>
          <w:rFonts w:ascii="Arial" w:eastAsia="Arial" w:hAnsi="Arial" w:cs="Arial"/>
          <w:color w:val="000000" w:themeColor="text1"/>
          <w:sz w:val="20"/>
          <w:szCs w:val="20"/>
        </w:rPr>
        <w:t>Prepare and present cyclical quality assurance reports, including actionable recommendations for enhancements to programs and the student experience.</w:t>
      </w:r>
    </w:p>
    <w:p w14:paraId="07E3B71E" w14:textId="059B855E" w:rsidR="00D72AB1" w:rsidRPr="00D72AB1" w:rsidRDefault="00D72AB1" w:rsidP="00F41567">
      <w:pPr>
        <w:tabs>
          <w:tab w:val="left" w:pos="1180"/>
          <w:tab w:val="left" w:pos="1181"/>
        </w:tabs>
        <w:spacing w:before="120" w:line="276" w:lineRule="auto"/>
        <w:ind w:left="820" w:right="947"/>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 xml:space="preserve">Collaboration &amp; </w:t>
      </w:r>
      <w:r w:rsidR="00BE7869">
        <w:rPr>
          <w:rFonts w:ascii="Arial" w:eastAsia="Arial" w:hAnsi="Arial" w:cs="Arial"/>
          <w:b/>
          <w:bCs/>
          <w:color w:val="000000" w:themeColor="text1"/>
          <w:sz w:val="20"/>
          <w:szCs w:val="20"/>
        </w:rPr>
        <w:t>Institutional Alignment</w:t>
      </w:r>
    </w:p>
    <w:p w14:paraId="6093C6F0" w14:textId="3FA40D80" w:rsidR="006242DE" w:rsidRDefault="00D72AB1" w:rsidP="00F41567">
      <w:pPr>
        <w:pStyle w:val="ListParagraph"/>
        <w:numPr>
          <w:ilvl w:val="2"/>
          <w:numId w:val="7"/>
        </w:numPr>
        <w:tabs>
          <w:tab w:val="left" w:pos="1180"/>
          <w:tab w:val="left" w:pos="1181"/>
        </w:tabs>
        <w:spacing w:before="120" w:line="276" w:lineRule="auto"/>
        <w:ind w:right="947"/>
        <w:jc w:val="both"/>
        <w:rPr>
          <w:rFonts w:ascii="Arial" w:eastAsia="Arial" w:hAnsi="Arial" w:cs="Arial"/>
          <w:color w:val="000000" w:themeColor="text1"/>
          <w:sz w:val="20"/>
          <w:szCs w:val="20"/>
        </w:rPr>
      </w:pPr>
      <w:r>
        <w:rPr>
          <w:rFonts w:ascii="Arial" w:eastAsia="Arial" w:hAnsi="Arial" w:cs="Arial"/>
          <w:color w:val="000000" w:themeColor="text1"/>
          <w:sz w:val="20"/>
          <w:szCs w:val="20"/>
        </w:rPr>
        <w:t>Partner</w:t>
      </w:r>
      <w:r w:rsidR="2DDCD23B" w:rsidRPr="3066894D">
        <w:rPr>
          <w:rFonts w:ascii="Arial" w:eastAsia="Arial" w:hAnsi="Arial" w:cs="Arial"/>
          <w:color w:val="000000" w:themeColor="text1"/>
          <w:sz w:val="20"/>
          <w:szCs w:val="20"/>
        </w:rPr>
        <w:t xml:space="preserve"> with academic and professional staff </w:t>
      </w:r>
      <w:r w:rsidR="00567042">
        <w:rPr>
          <w:rFonts w:ascii="Arial" w:eastAsia="Arial" w:hAnsi="Arial" w:cs="Arial"/>
          <w:color w:val="000000" w:themeColor="text1"/>
          <w:sz w:val="20"/>
          <w:szCs w:val="20"/>
        </w:rPr>
        <w:t>to</w:t>
      </w:r>
      <w:r w:rsidR="2DDCD23B" w:rsidRPr="3066894D">
        <w:rPr>
          <w:rFonts w:ascii="Arial" w:eastAsia="Arial" w:hAnsi="Arial" w:cs="Arial"/>
          <w:color w:val="000000" w:themeColor="text1"/>
          <w:sz w:val="20"/>
          <w:szCs w:val="20"/>
        </w:rPr>
        <w:t xml:space="preserve"> ensure curriculum integrity, consistency of assessment practices, and alignment with institutional learning and teaching strategies.</w:t>
      </w:r>
    </w:p>
    <w:p w14:paraId="3BC612D9" w14:textId="15324594" w:rsidR="00567042" w:rsidRPr="00E57E8A" w:rsidRDefault="00567042" w:rsidP="00F41567">
      <w:pPr>
        <w:pStyle w:val="ListParagraph"/>
        <w:numPr>
          <w:ilvl w:val="2"/>
          <w:numId w:val="7"/>
        </w:numPr>
        <w:tabs>
          <w:tab w:val="left" w:pos="1320"/>
        </w:tabs>
        <w:spacing w:before="120" w:line="276" w:lineRule="auto"/>
        <w:ind w:right="947"/>
        <w:jc w:val="both"/>
        <w:rPr>
          <w:rFonts w:ascii="Arial" w:hAnsi="Arial" w:cs="Arial"/>
          <w:color w:val="E10917"/>
          <w:sz w:val="20"/>
        </w:rPr>
      </w:pPr>
      <w:r w:rsidRPr="00E57E8A">
        <w:rPr>
          <w:rFonts w:ascii="Arial" w:hAnsi="Arial" w:cs="Arial"/>
          <w:sz w:val="20"/>
          <w:szCs w:val="20"/>
        </w:rPr>
        <w:t>Collaborate with key University</w:t>
      </w:r>
      <w:r w:rsidR="00B552A4">
        <w:rPr>
          <w:rFonts w:ascii="Arial" w:hAnsi="Arial" w:cs="Arial"/>
          <w:sz w:val="20"/>
          <w:szCs w:val="20"/>
        </w:rPr>
        <w:t xml:space="preserve"> stakeholders</w:t>
      </w:r>
      <w:r w:rsidRPr="00E57E8A">
        <w:rPr>
          <w:rFonts w:ascii="Arial" w:hAnsi="Arial" w:cs="Arial"/>
          <w:sz w:val="20"/>
          <w:szCs w:val="20"/>
        </w:rPr>
        <w:t xml:space="preserve"> to</w:t>
      </w:r>
      <w:r w:rsidR="00B552A4">
        <w:rPr>
          <w:rFonts w:ascii="Arial" w:hAnsi="Arial" w:cs="Arial"/>
          <w:sz w:val="20"/>
          <w:szCs w:val="20"/>
        </w:rPr>
        <w:t xml:space="preserve"> advance </w:t>
      </w:r>
      <w:r w:rsidRPr="00E57E8A">
        <w:rPr>
          <w:rFonts w:ascii="Arial" w:hAnsi="Arial" w:cs="Arial"/>
          <w:sz w:val="20"/>
          <w:szCs w:val="20"/>
        </w:rPr>
        <w:t>integrated learning and teaching enhancement initiatives and contribute to processes for advancing, recognising, and rewarding teaching quality and excellence.</w:t>
      </w:r>
    </w:p>
    <w:p w14:paraId="7DEE5880" w14:textId="5BB5940F" w:rsidR="00567042" w:rsidRPr="00BE7869" w:rsidRDefault="00B1453A" w:rsidP="00F41567">
      <w:pPr>
        <w:tabs>
          <w:tab w:val="left" w:pos="1180"/>
          <w:tab w:val="left" w:pos="1181"/>
        </w:tabs>
        <w:spacing w:before="120" w:line="276" w:lineRule="auto"/>
        <w:ind w:left="851" w:right="947"/>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Leadership &amp; Capability Development</w:t>
      </w:r>
    </w:p>
    <w:p w14:paraId="7D9B156F" w14:textId="09DFCEBF" w:rsidR="006242DE" w:rsidRPr="00E57E8A" w:rsidRDefault="006242DE" w:rsidP="00F41567">
      <w:pPr>
        <w:pStyle w:val="ListParagraph"/>
        <w:numPr>
          <w:ilvl w:val="2"/>
          <w:numId w:val="7"/>
        </w:numPr>
        <w:tabs>
          <w:tab w:val="left" w:pos="1320"/>
        </w:tabs>
        <w:spacing w:before="120" w:line="276" w:lineRule="auto"/>
        <w:ind w:right="947"/>
        <w:jc w:val="both"/>
        <w:rPr>
          <w:rFonts w:ascii="Arial" w:hAnsi="Arial" w:cs="Arial"/>
          <w:color w:val="E10917"/>
          <w:sz w:val="20"/>
          <w:szCs w:val="20"/>
        </w:rPr>
      </w:pPr>
      <w:bookmarkStart w:id="0" w:name="On_the_recommendation_of_the_Vice_Chance"/>
      <w:bookmarkEnd w:id="0"/>
      <w:r w:rsidRPr="00E57E8A">
        <w:rPr>
          <w:rFonts w:ascii="Arial" w:hAnsi="Arial" w:cs="Arial"/>
          <w:sz w:val="20"/>
          <w:szCs w:val="20"/>
        </w:rPr>
        <w:t xml:space="preserve">Lead and coordinate projects </w:t>
      </w:r>
      <w:r w:rsidR="00AB7EEE">
        <w:rPr>
          <w:rFonts w:ascii="Arial" w:hAnsi="Arial" w:cs="Arial"/>
          <w:sz w:val="20"/>
          <w:szCs w:val="20"/>
        </w:rPr>
        <w:t>that</w:t>
      </w:r>
      <w:r w:rsidRPr="00E57E8A">
        <w:rPr>
          <w:rFonts w:ascii="Arial" w:hAnsi="Arial" w:cs="Arial"/>
          <w:sz w:val="20"/>
          <w:szCs w:val="20"/>
        </w:rPr>
        <w:t xml:space="preserve"> implement</w:t>
      </w:r>
      <w:r w:rsidR="00AB7EEE">
        <w:rPr>
          <w:rFonts w:ascii="Arial" w:hAnsi="Arial" w:cs="Arial"/>
          <w:sz w:val="20"/>
          <w:szCs w:val="20"/>
        </w:rPr>
        <w:t xml:space="preserve"> </w:t>
      </w:r>
      <w:r w:rsidR="778B0814" w:rsidRPr="19688BE9">
        <w:rPr>
          <w:rFonts w:ascii="Arial" w:hAnsi="Arial" w:cs="Arial"/>
          <w:sz w:val="20"/>
          <w:szCs w:val="20"/>
        </w:rPr>
        <w:t>quality assurance initiatives</w:t>
      </w:r>
      <w:r w:rsidR="003E32B8">
        <w:rPr>
          <w:rFonts w:ascii="Arial" w:hAnsi="Arial" w:cs="Arial"/>
          <w:sz w:val="20"/>
          <w:szCs w:val="20"/>
        </w:rPr>
        <w:t xml:space="preserve"> </w:t>
      </w:r>
      <w:r w:rsidRPr="00E57E8A">
        <w:rPr>
          <w:rFonts w:ascii="Arial" w:hAnsi="Arial" w:cs="Arial"/>
          <w:sz w:val="20"/>
          <w:szCs w:val="20"/>
        </w:rPr>
        <w:t xml:space="preserve">that enhance </w:t>
      </w:r>
      <w:r w:rsidR="00AB7EEE">
        <w:rPr>
          <w:rFonts w:ascii="Arial" w:hAnsi="Arial" w:cs="Arial"/>
          <w:sz w:val="20"/>
          <w:szCs w:val="20"/>
        </w:rPr>
        <w:t xml:space="preserve">student </w:t>
      </w:r>
      <w:r w:rsidRPr="00E57E8A">
        <w:rPr>
          <w:rFonts w:ascii="Arial" w:hAnsi="Arial" w:cs="Arial"/>
          <w:sz w:val="20"/>
          <w:szCs w:val="20"/>
        </w:rPr>
        <w:t>learning and teaching outcomes</w:t>
      </w:r>
      <w:r w:rsidR="00AB7EEE">
        <w:rPr>
          <w:rFonts w:ascii="Arial" w:hAnsi="Arial" w:cs="Arial"/>
          <w:sz w:val="20"/>
          <w:szCs w:val="20"/>
        </w:rPr>
        <w:t>.</w:t>
      </w:r>
    </w:p>
    <w:p w14:paraId="03294745" w14:textId="77777777" w:rsidR="00D17290" w:rsidRPr="00D17290" w:rsidRDefault="006242DE" w:rsidP="00D17290">
      <w:pPr>
        <w:pStyle w:val="ListParagraph"/>
        <w:numPr>
          <w:ilvl w:val="2"/>
          <w:numId w:val="7"/>
        </w:numPr>
        <w:tabs>
          <w:tab w:val="left" w:pos="1320"/>
        </w:tabs>
        <w:spacing w:before="120" w:line="276" w:lineRule="auto"/>
        <w:ind w:right="947"/>
        <w:jc w:val="both"/>
        <w:rPr>
          <w:rFonts w:ascii="Arial" w:hAnsi="Arial" w:cs="Arial"/>
          <w:color w:val="E10917"/>
          <w:sz w:val="20"/>
          <w:szCs w:val="20"/>
        </w:rPr>
      </w:pPr>
      <w:r w:rsidRPr="00E57E8A">
        <w:rPr>
          <w:rFonts w:ascii="Arial" w:hAnsi="Arial" w:cs="Arial"/>
          <w:sz w:val="20"/>
          <w:szCs w:val="20"/>
        </w:rPr>
        <w:t xml:space="preserve">Design, implement, and evaluate professional learning programs and leadership development for learning and </w:t>
      </w:r>
      <w:r w:rsidR="09CCBBDA" w:rsidRPr="19688BE9">
        <w:rPr>
          <w:rFonts w:ascii="Arial" w:hAnsi="Arial" w:cs="Arial"/>
          <w:sz w:val="20"/>
          <w:szCs w:val="20"/>
        </w:rPr>
        <w:t xml:space="preserve">quality assurance </w:t>
      </w:r>
      <w:r w:rsidRPr="00E57E8A">
        <w:rPr>
          <w:rFonts w:ascii="Arial" w:hAnsi="Arial" w:cs="Arial"/>
          <w:sz w:val="20"/>
          <w:szCs w:val="20"/>
        </w:rPr>
        <w:t>practice for academic and professional staff.</w:t>
      </w:r>
    </w:p>
    <w:p w14:paraId="4C2EE2E7" w14:textId="50E7029A" w:rsidR="00D17290" w:rsidRPr="00D17290" w:rsidRDefault="00975E42" w:rsidP="00D17290">
      <w:pPr>
        <w:pStyle w:val="ListParagraph"/>
        <w:numPr>
          <w:ilvl w:val="2"/>
          <w:numId w:val="7"/>
        </w:numPr>
        <w:tabs>
          <w:tab w:val="left" w:pos="1320"/>
        </w:tabs>
        <w:spacing w:before="120" w:line="276" w:lineRule="auto"/>
        <w:ind w:right="947"/>
        <w:jc w:val="both"/>
        <w:rPr>
          <w:rFonts w:ascii="Arial" w:hAnsi="Arial" w:cs="Arial"/>
          <w:color w:val="E10917"/>
          <w:sz w:val="20"/>
          <w:szCs w:val="20"/>
        </w:rPr>
      </w:pPr>
      <w:r w:rsidRPr="00D17290">
        <w:rPr>
          <w:rFonts w:ascii="Arial" w:hAnsi="Arial" w:cs="Arial"/>
          <w:sz w:val="20"/>
          <w:szCs w:val="20"/>
        </w:rPr>
        <w:t>Provide strategic leadership, guidance, and mentorship to a team of Learning Designers and Learning Design Support Officers, fostering a high-performance culture that delivers innovative, high-quality online learning experiences and advances the University’s digital education strategy</w:t>
      </w:r>
      <w:r w:rsidR="00D17290">
        <w:rPr>
          <w:rFonts w:ascii="Arial" w:hAnsi="Arial" w:cs="Arial"/>
          <w:sz w:val="20"/>
          <w:szCs w:val="20"/>
        </w:rPr>
        <w:t>.</w:t>
      </w:r>
    </w:p>
    <w:p w14:paraId="248E0BD5" w14:textId="619FD803" w:rsidR="004C663C" w:rsidRPr="00D17290" w:rsidRDefault="004C663C" w:rsidP="00D17290">
      <w:pPr>
        <w:tabs>
          <w:tab w:val="left" w:pos="1320"/>
        </w:tabs>
        <w:spacing w:before="120" w:line="276" w:lineRule="auto"/>
        <w:ind w:left="820" w:right="947"/>
        <w:jc w:val="both"/>
        <w:rPr>
          <w:rFonts w:ascii="Arial" w:hAnsi="Arial" w:cs="Arial"/>
          <w:color w:val="E10917"/>
          <w:sz w:val="20"/>
          <w:szCs w:val="20"/>
        </w:rPr>
      </w:pPr>
      <w:r w:rsidRPr="00D17290">
        <w:rPr>
          <w:rFonts w:ascii="Arial" w:hAnsi="Arial" w:cs="Arial"/>
          <w:b/>
          <w:bCs/>
          <w:sz w:val="20"/>
        </w:rPr>
        <w:t>Research and Evidence-Based Practice</w:t>
      </w:r>
    </w:p>
    <w:p w14:paraId="2728EA74" w14:textId="77777777" w:rsidR="006242DE" w:rsidRPr="004C663C" w:rsidRDefault="006242DE" w:rsidP="00F41567">
      <w:pPr>
        <w:pStyle w:val="ListParagraph"/>
        <w:numPr>
          <w:ilvl w:val="2"/>
          <w:numId w:val="7"/>
        </w:numPr>
        <w:tabs>
          <w:tab w:val="left" w:pos="1320"/>
        </w:tabs>
        <w:spacing w:before="120" w:line="276" w:lineRule="auto"/>
        <w:ind w:right="947"/>
        <w:jc w:val="both"/>
        <w:rPr>
          <w:rFonts w:ascii="Arial" w:hAnsi="Arial" w:cs="Arial"/>
          <w:color w:val="E10917"/>
          <w:sz w:val="20"/>
          <w:szCs w:val="20"/>
        </w:rPr>
      </w:pPr>
      <w:r w:rsidRPr="00E57E8A">
        <w:rPr>
          <w:rFonts w:ascii="Arial" w:hAnsi="Arial" w:cs="Arial"/>
          <w:sz w:val="20"/>
          <w:szCs w:val="20"/>
        </w:rPr>
        <w:t>Engage with scholarly research to provide evidence-based guidance to colleagues to inform contextualised curricula.</w:t>
      </w:r>
      <w:r w:rsidRPr="00E57E8A">
        <w:rPr>
          <w:rFonts w:ascii="Arial" w:hAnsi="Arial" w:cs="Arial"/>
        </w:rPr>
        <w:t xml:space="preserve"> </w:t>
      </w:r>
    </w:p>
    <w:p w14:paraId="56A1435C" w14:textId="62AE75F0" w:rsidR="004C663C" w:rsidRPr="004C663C" w:rsidRDefault="004C663C" w:rsidP="00F41567">
      <w:pPr>
        <w:tabs>
          <w:tab w:val="left" w:pos="1320"/>
        </w:tabs>
        <w:spacing w:before="120" w:line="276" w:lineRule="auto"/>
        <w:ind w:left="820" w:right="947"/>
        <w:jc w:val="both"/>
        <w:rPr>
          <w:rFonts w:ascii="Arial" w:hAnsi="Arial" w:cs="Arial"/>
          <w:b/>
          <w:bCs/>
          <w:sz w:val="20"/>
          <w:szCs w:val="20"/>
        </w:rPr>
      </w:pPr>
      <w:r w:rsidRPr="004C663C">
        <w:rPr>
          <w:rFonts w:ascii="Arial" w:hAnsi="Arial" w:cs="Arial"/>
          <w:b/>
          <w:bCs/>
          <w:sz w:val="20"/>
          <w:szCs w:val="20"/>
        </w:rPr>
        <w:t>General</w:t>
      </w:r>
    </w:p>
    <w:p w14:paraId="1242C57C" w14:textId="514E9827" w:rsidR="3EB03266" w:rsidRDefault="3EB03266" w:rsidP="00F41567">
      <w:pPr>
        <w:pStyle w:val="ListParagraph"/>
        <w:numPr>
          <w:ilvl w:val="2"/>
          <w:numId w:val="7"/>
        </w:numPr>
        <w:tabs>
          <w:tab w:val="left" w:pos="1320"/>
        </w:tabs>
        <w:spacing w:before="120" w:line="276" w:lineRule="auto"/>
        <w:ind w:right="947"/>
        <w:jc w:val="both"/>
      </w:pPr>
      <w:r w:rsidRPr="00E57E8A">
        <w:rPr>
          <w:rFonts w:ascii="Arial" w:eastAsia="Arial" w:hAnsi="Arial" w:cs="Arial"/>
          <w:color w:val="000000" w:themeColor="text1"/>
          <w:sz w:val="20"/>
          <w:szCs w:val="20"/>
        </w:rPr>
        <w:t>This position may be required to take on other responsibilities, commensurate with the expectations of a role at this level, which contribute to the overall objectives of the work unit.</w:t>
      </w:r>
    </w:p>
    <w:p w14:paraId="67B73E21" w14:textId="77777777" w:rsidR="006242DE" w:rsidRPr="00E57E8A" w:rsidRDefault="006242DE" w:rsidP="00F41567">
      <w:pPr>
        <w:pStyle w:val="ListParagraph"/>
        <w:numPr>
          <w:ilvl w:val="2"/>
          <w:numId w:val="7"/>
        </w:numPr>
        <w:tabs>
          <w:tab w:val="left" w:pos="1321"/>
        </w:tabs>
        <w:spacing w:before="120" w:line="276" w:lineRule="auto"/>
        <w:ind w:right="947"/>
        <w:jc w:val="both"/>
        <w:rPr>
          <w:rFonts w:ascii="Arial" w:hAnsi="Arial" w:cs="Arial"/>
          <w:color w:val="E10917"/>
          <w:sz w:val="20"/>
        </w:rPr>
      </w:pPr>
      <w:bookmarkStart w:id="1" w:name="_Ensure_compliance_with_relevant_legisl"/>
      <w:bookmarkEnd w:id="1"/>
      <w:r w:rsidRPr="00E57E8A">
        <w:rPr>
          <w:rFonts w:ascii="Arial" w:hAnsi="Arial" w:cs="Arial"/>
          <w:sz w:val="20"/>
        </w:rPr>
        <w:lastRenderedPageBreak/>
        <w:t>Ensure compliance with relevant legislation and University policies and procedures, including equity and health &amp; safety and exhibit good practice in relation to same.</w:t>
      </w:r>
    </w:p>
    <w:p w14:paraId="7BD75798" w14:textId="77777777" w:rsidR="006242DE" w:rsidRPr="00E57E8A" w:rsidRDefault="006242DE" w:rsidP="00F41567">
      <w:pPr>
        <w:pStyle w:val="ListParagraph"/>
        <w:numPr>
          <w:ilvl w:val="2"/>
          <w:numId w:val="7"/>
        </w:numPr>
        <w:tabs>
          <w:tab w:val="left" w:pos="1321"/>
        </w:tabs>
        <w:spacing w:before="120" w:line="276" w:lineRule="auto"/>
        <w:ind w:right="947"/>
        <w:jc w:val="both"/>
        <w:rPr>
          <w:rFonts w:ascii="Arial" w:hAnsi="Arial" w:cs="Arial"/>
          <w:color w:val="E10917"/>
          <w:sz w:val="20"/>
        </w:rPr>
      </w:pPr>
      <w:r w:rsidRPr="00E57E8A">
        <w:rPr>
          <w:rFonts w:ascii="Arial" w:hAnsi="Arial" w:cs="Arial"/>
          <w:sz w:val="20"/>
        </w:rPr>
        <w:t>Be</w:t>
      </w:r>
      <w:r w:rsidRPr="00E57E8A">
        <w:rPr>
          <w:rFonts w:ascii="Arial" w:hAnsi="Arial" w:cs="Arial"/>
          <w:spacing w:val="-14"/>
          <w:sz w:val="20"/>
        </w:rPr>
        <w:t xml:space="preserve"> </w:t>
      </w:r>
      <w:r w:rsidRPr="00E57E8A">
        <w:rPr>
          <w:rFonts w:ascii="Arial" w:hAnsi="Arial" w:cs="Arial"/>
          <w:sz w:val="20"/>
        </w:rPr>
        <w:t>a</w:t>
      </w:r>
      <w:r w:rsidRPr="00E57E8A">
        <w:rPr>
          <w:rFonts w:ascii="Arial" w:hAnsi="Arial" w:cs="Arial"/>
          <w:spacing w:val="-14"/>
          <w:sz w:val="20"/>
        </w:rPr>
        <w:t xml:space="preserve"> </w:t>
      </w:r>
      <w:r w:rsidRPr="00E57E8A">
        <w:rPr>
          <w:rFonts w:ascii="Arial" w:hAnsi="Arial" w:cs="Arial"/>
          <w:sz w:val="20"/>
        </w:rPr>
        <w:t>leading</w:t>
      </w:r>
      <w:r w:rsidRPr="00E57E8A">
        <w:rPr>
          <w:rFonts w:ascii="Arial" w:hAnsi="Arial" w:cs="Arial"/>
          <w:spacing w:val="-14"/>
          <w:sz w:val="20"/>
        </w:rPr>
        <w:t xml:space="preserve"> </w:t>
      </w:r>
      <w:r w:rsidRPr="00E57E8A">
        <w:rPr>
          <w:rFonts w:ascii="Arial" w:hAnsi="Arial" w:cs="Arial"/>
          <w:sz w:val="20"/>
        </w:rPr>
        <w:t>example</w:t>
      </w:r>
      <w:r w:rsidRPr="00E57E8A">
        <w:rPr>
          <w:rFonts w:ascii="Arial" w:hAnsi="Arial" w:cs="Arial"/>
          <w:spacing w:val="-14"/>
          <w:sz w:val="20"/>
        </w:rPr>
        <w:t xml:space="preserve"> </w:t>
      </w:r>
      <w:r w:rsidRPr="00E57E8A">
        <w:rPr>
          <w:rFonts w:ascii="Arial" w:hAnsi="Arial" w:cs="Arial"/>
          <w:sz w:val="20"/>
        </w:rPr>
        <w:t>of</w:t>
      </w:r>
      <w:r w:rsidRPr="00E57E8A">
        <w:rPr>
          <w:rFonts w:ascii="Arial" w:hAnsi="Arial" w:cs="Arial"/>
          <w:spacing w:val="-14"/>
          <w:sz w:val="20"/>
        </w:rPr>
        <w:t xml:space="preserve"> </w:t>
      </w:r>
      <w:r w:rsidRPr="00E57E8A">
        <w:rPr>
          <w:rFonts w:ascii="Arial" w:hAnsi="Arial" w:cs="Arial"/>
          <w:sz w:val="20"/>
        </w:rPr>
        <w:t>the</w:t>
      </w:r>
      <w:r w:rsidRPr="00E57E8A">
        <w:rPr>
          <w:rFonts w:ascii="Arial" w:hAnsi="Arial" w:cs="Arial"/>
          <w:spacing w:val="-14"/>
          <w:sz w:val="20"/>
        </w:rPr>
        <w:t xml:space="preserve"> </w:t>
      </w:r>
      <w:r w:rsidRPr="00E57E8A">
        <w:rPr>
          <w:rFonts w:ascii="Arial" w:hAnsi="Arial" w:cs="Arial"/>
          <w:sz w:val="20"/>
        </w:rPr>
        <w:t>principles</w:t>
      </w:r>
      <w:r w:rsidRPr="00E57E8A">
        <w:rPr>
          <w:rFonts w:ascii="Arial" w:hAnsi="Arial" w:cs="Arial"/>
          <w:spacing w:val="-14"/>
          <w:sz w:val="20"/>
        </w:rPr>
        <w:t xml:space="preserve"> </w:t>
      </w:r>
      <w:r w:rsidRPr="00E57E8A">
        <w:rPr>
          <w:rFonts w:ascii="Arial" w:hAnsi="Arial" w:cs="Arial"/>
          <w:sz w:val="20"/>
        </w:rPr>
        <w:t>and</w:t>
      </w:r>
      <w:r w:rsidRPr="00E57E8A">
        <w:rPr>
          <w:rFonts w:ascii="Arial" w:hAnsi="Arial" w:cs="Arial"/>
          <w:spacing w:val="-14"/>
          <w:sz w:val="20"/>
        </w:rPr>
        <w:t xml:space="preserve"> </w:t>
      </w:r>
      <w:r w:rsidRPr="00E57E8A">
        <w:rPr>
          <w:rFonts w:ascii="Arial" w:hAnsi="Arial" w:cs="Arial"/>
          <w:sz w:val="20"/>
        </w:rPr>
        <w:t>values</w:t>
      </w:r>
      <w:r w:rsidRPr="00E57E8A">
        <w:rPr>
          <w:rFonts w:ascii="Arial" w:hAnsi="Arial" w:cs="Arial"/>
          <w:spacing w:val="-14"/>
          <w:sz w:val="20"/>
        </w:rPr>
        <w:t xml:space="preserve"> </w:t>
      </w:r>
      <w:r w:rsidRPr="00E57E8A">
        <w:rPr>
          <w:rFonts w:ascii="Arial" w:hAnsi="Arial" w:cs="Arial"/>
          <w:sz w:val="20"/>
        </w:rPr>
        <w:t>embodied</w:t>
      </w:r>
      <w:r w:rsidRPr="00E57E8A">
        <w:rPr>
          <w:rFonts w:ascii="Arial" w:hAnsi="Arial" w:cs="Arial"/>
          <w:spacing w:val="-13"/>
          <w:sz w:val="20"/>
        </w:rPr>
        <w:t xml:space="preserve"> </w:t>
      </w:r>
      <w:r w:rsidRPr="00E57E8A">
        <w:rPr>
          <w:rFonts w:ascii="Arial" w:hAnsi="Arial" w:cs="Arial"/>
          <w:sz w:val="20"/>
        </w:rPr>
        <w:t>in</w:t>
      </w:r>
      <w:r w:rsidRPr="00E57E8A">
        <w:rPr>
          <w:rFonts w:ascii="Arial" w:hAnsi="Arial" w:cs="Arial"/>
          <w:spacing w:val="-14"/>
          <w:sz w:val="20"/>
        </w:rPr>
        <w:t xml:space="preserve"> </w:t>
      </w:r>
      <w:r w:rsidRPr="00E57E8A">
        <w:rPr>
          <w:rFonts w:ascii="Arial" w:hAnsi="Arial" w:cs="Arial"/>
          <w:sz w:val="20"/>
        </w:rPr>
        <w:t>the</w:t>
      </w:r>
      <w:r w:rsidRPr="00E57E8A">
        <w:rPr>
          <w:rFonts w:ascii="Arial" w:hAnsi="Arial" w:cs="Arial"/>
          <w:spacing w:val="-14"/>
          <w:sz w:val="20"/>
        </w:rPr>
        <w:t xml:space="preserve"> </w:t>
      </w:r>
      <w:r w:rsidRPr="00E57E8A">
        <w:rPr>
          <w:rFonts w:ascii="Arial" w:hAnsi="Arial" w:cs="Arial"/>
          <w:sz w:val="20"/>
        </w:rPr>
        <w:t>University’s Code of Conduct, and behave, act and communicate at all times to reflect fairness, ethics and professionalism.</w:t>
      </w:r>
    </w:p>
    <w:p w14:paraId="15F2E586" w14:textId="77777777" w:rsidR="006242DE" w:rsidRPr="006242DE" w:rsidRDefault="006242DE" w:rsidP="00AE0C11">
      <w:pPr>
        <w:pStyle w:val="ListParagraph"/>
        <w:tabs>
          <w:tab w:val="left" w:pos="1321"/>
        </w:tabs>
        <w:spacing w:line="276" w:lineRule="auto"/>
        <w:ind w:left="964" w:right="1089"/>
        <w:jc w:val="both"/>
        <w:rPr>
          <w:rFonts w:ascii="Arial" w:hAnsi="Arial" w:cs="Arial"/>
          <w:color w:val="E10917"/>
          <w:sz w:val="20"/>
        </w:rPr>
      </w:pPr>
    </w:p>
    <w:p w14:paraId="15E6FE81" w14:textId="77777777" w:rsidR="00E449D4" w:rsidRPr="00C138CC" w:rsidRDefault="00E449D4" w:rsidP="00AE0C11">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AE0C11">
      <w:pPr>
        <w:pStyle w:val="ListParagraph"/>
        <w:tabs>
          <w:tab w:val="left" w:pos="1180"/>
          <w:tab w:val="left" w:pos="1181"/>
        </w:tabs>
        <w:spacing w:line="276" w:lineRule="auto"/>
        <w:ind w:right="1020"/>
        <w:jc w:val="both"/>
        <w:rPr>
          <w:rFonts w:ascii="Arial" w:hAnsi="Arial" w:cs="Arial"/>
          <w:sz w:val="20"/>
        </w:rPr>
      </w:pPr>
    </w:p>
    <w:p w14:paraId="719DDA1B" w14:textId="77777777" w:rsidR="00223168" w:rsidRPr="005E1029" w:rsidRDefault="00223168" w:rsidP="00AE0C11">
      <w:pPr>
        <w:tabs>
          <w:tab w:val="left" w:pos="1180"/>
          <w:tab w:val="left" w:pos="1181"/>
        </w:tabs>
        <w:spacing w:line="276" w:lineRule="auto"/>
        <w:ind w:left="820" w:right="1020"/>
        <w:jc w:val="both"/>
        <w:rPr>
          <w:rFonts w:ascii="Arial" w:hAnsi="Arial" w:cs="Arial"/>
          <w:sz w:val="20"/>
        </w:rPr>
      </w:pPr>
      <w:r w:rsidRPr="005E1029">
        <w:rPr>
          <w:rFonts w:ascii="Arial" w:hAnsi="Arial" w:cs="Arial"/>
          <w:color w:val="000000"/>
          <w:sz w:val="20"/>
          <w:szCs w:val="20"/>
          <w:lang w:bidi="ar-SA"/>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FC53611" w14:textId="77777777" w:rsidR="00223168" w:rsidRDefault="00223168" w:rsidP="00AE0C11">
      <w:pPr>
        <w:tabs>
          <w:tab w:val="left" w:pos="1180"/>
          <w:tab w:val="left" w:pos="1181"/>
        </w:tabs>
        <w:spacing w:line="276" w:lineRule="auto"/>
        <w:ind w:left="820" w:right="1020"/>
        <w:jc w:val="both"/>
        <w:rPr>
          <w:rFonts w:ascii="Arial" w:hAnsi="Arial" w:cs="Arial"/>
          <w:color w:val="000000"/>
          <w:sz w:val="20"/>
          <w:szCs w:val="20"/>
          <w:lang w:bidi="ar-SA"/>
        </w:rPr>
      </w:pPr>
    </w:p>
    <w:p w14:paraId="5BB8188B" w14:textId="46B108A3" w:rsidR="00223168" w:rsidRPr="005E1029" w:rsidRDefault="00223168" w:rsidP="00AE0C11">
      <w:pPr>
        <w:tabs>
          <w:tab w:val="left" w:pos="1180"/>
          <w:tab w:val="left" w:pos="1181"/>
        </w:tabs>
        <w:spacing w:line="276" w:lineRule="auto"/>
        <w:ind w:left="820" w:right="1020"/>
        <w:jc w:val="both"/>
        <w:rPr>
          <w:rFonts w:ascii="Arial" w:hAnsi="Arial" w:cs="Arial"/>
          <w:sz w:val="20"/>
        </w:rPr>
      </w:pPr>
      <w:r w:rsidRPr="005E1029">
        <w:rPr>
          <w:rFonts w:ascii="Arial" w:hAnsi="Arial" w:cs="Arial"/>
          <w:color w:val="000000"/>
          <w:sz w:val="20"/>
          <w:szCs w:val="20"/>
          <w:lang w:bidi="ar-SA"/>
        </w:rPr>
        <w:t>To read about some of the non-technical organisation skills for this position, please see the</w:t>
      </w:r>
      <w:r>
        <w:rPr>
          <w:rFonts w:ascii="Arial" w:hAnsi="Arial" w:cs="Arial"/>
          <w:color w:val="000000"/>
          <w:sz w:val="20"/>
          <w:szCs w:val="20"/>
          <w:lang w:bidi="ar-SA"/>
        </w:rPr>
        <w:t xml:space="preserve"> Leads </w:t>
      </w:r>
      <w:r w:rsidR="003A21F6">
        <w:rPr>
          <w:rFonts w:ascii="Arial" w:hAnsi="Arial" w:cs="Arial"/>
          <w:color w:val="000000"/>
          <w:sz w:val="20"/>
          <w:szCs w:val="20"/>
          <w:lang w:bidi="ar-SA"/>
        </w:rPr>
        <w:t xml:space="preserve">Others </w:t>
      </w:r>
      <w:r w:rsidRPr="005E1029">
        <w:rPr>
          <w:rFonts w:ascii="Arial" w:hAnsi="Arial" w:cs="Arial"/>
          <w:color w:val="000000"/>
          <w:sz w:val="20"/>
          <w:szCs w:val="20"/>
          <w:lang w:bidi="ar-SA"/>
        </w:rPr>
        <w:t xml:space="preserve">section of our </w:t>
      </w:r>
      <w:hyperlink r:id="rId10" w:anchor="framework" w:history="1">
        <w:r w:rsidRPr="005E1029">
          <w:rPr>
            <w:rFonts w:ascii="Arial" w:hAnsi="Arial" w:cs="Arial"/>
            <w:color w:val="0033CC"/>
            <w:sz w:val="20"/>
            <w:szCs w:val="20"/>
            <w:u w:val="single"/>
            <w:lang w:bidi="ar-SA"/>
          </w:rPr>
          <w:t>Capability Development Framework</w:t>
        </w:r>
      </w:hyperlink>
      <w:r w:rsidRPr="005E1029">
        <w:rPr>
          <w:rFonts w:ascii="Arial" w:hAnsi="Arial" w:cs="Arial"/>
          <w:color w:val="000000"/>
          <w:sz w:val="20"/>
          <w:szCs w:val="20"/>
          <w:lang w:bidi="ar-SA"/>
        </w:rPr>
        <w:t>.</w:t>
      </w:r>
    </w:p>
    <w:p w14:paraId="052EAF21" w14:textId="0DDC766A" w:rsidR="00864393" w:rsidRDefault="00864393" w:rsidP="00AE0C11">
      <w:pPr>
        <w:spacing w:line="276" w:lineRule="auto"/>
        <w:jc w:val="both"/>
      </w:pPr>
    </w:p>
    <w:p w14:paraId="5DB776D4" w14:textId="6256974D" w:rsidR="00EB78CB" w:rsidRDefault="00EB78CB" w:rsidP="00AE0C11">
      <w:pPr>
        <w:spacing w:line="276" w:lineRule="auto"/>
        <w:jc w:val="both"/>
      </w:pPr>
    </w:p>
    <w:p w14:paraId="2EF76194" w14:textId="6367473A" w:rsidR="00EB78CB" w:rsidRDefault="00EB78CB" w:rsidP="006242DE">
      <w:pPr>
        <w:jc w:val="both"/>
      </w:pPr>
    </w:p>
    <w:p w14:paraId="593CD0FF" w14:textId="77777777" w:rsidR="00EB78CB" w:rsidRDefault="00EB78CB" w:rsidP="006242DE">
      <w:pPr>
        <w:jc w:val="both"/>
      </w:pPr>
    </w:p>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59F8" w14:textId="77777777" w:rsidR="00E63552" w:rsidRDefault="00E63552" w:rsidP="00E449D4">
      <w:r>
        <w:separator/>
      </w:r>
    </w:p>
  </w:endnote>
  <w:endnote w:type="continuationSeparator" w:id="0">
    <w:p w14:paraId="2570637F" w14:textId="77777777" w:rsidR="00E63552" w:rsidRDefault="00E63552"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DCD07"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CB856"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E082" w14:textId="77777777" w:rsidR="00E63552" w:rsidRDefault="00E63552" w:rsidP="00E449D4">
      <w:r>
        <w:separator/>
      </w:r>
    </w:p>
  </w:footnote>
  <w:footnote w:type="continuationSeparator" w:id="0">
    <w:p w14:paraId="6F69A9A7" w14:textId="77777777" w:rsidR="00E63552" w:rsidRDefault="00E63552"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941AD"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0025"/>
    <w:multiLevelType w:val="hybridMultilevel"/>
    <w:tmpl w:val="73C86240"/>
    <w:lvl w:ilvl="0" w:tplc="97A4F60C">
      <w:start w:val="1"/>
      <w:numFmt w:val="decimal"/>
      <w:lvlText w:val="%1.0"/>
      <w:lvlJc w:val="left"/>
      <w:pPr>
        <w:ind w:left="1001" w:hanging="721"/>
      </w:pPr>
      <w:rPr>
        <w:rFonts w:ascii="Arial" w:eastAsia="Arial" w:hAnsi="Arial" w:cs="Arial" w:hint="default"/>
        <w:b w:val="0"/>
        <w:bCs w:val="0"/>
        <w:i w:val="0"/>
        <w:iCs w:val="0"/>
        <w:color w:val="E10917"/>
        <w:spacing w:val="-2"/>
        <w:w w:val="99"/>
        <w:sz w:val="24"/>
        <w:szCs w:val="24"/>
        <w:lang w:val="en-US" w:eastAsia="en-US" w:bidi="ar-SA"/>
      </w:rPr>
    </w:lvl>
    <w:lvl w:ilvl="1" w:tplc="F2A076F0">
      <w:numFmt w:val="bullet"/>
      <w:lvlText w:val=""/>
      <w:lvlJc w:val="left"/>
      <w:pPr>
        <w:ind w:left="1416" w:hanging="425"/>
      </w:pPr>
      <w:rPr>
        <w:rFonts w:ascii="Wingdings" w:eastAsia="Wingdings" w:hAnsi="Wingdings" w:cs="Wingdings" w:hint="default"/>
        <w:spacing w:val="0"/>
        <w:w w:val="100"/>
        <w:lang w:val="en-US" w:eastAsia="en-US" w:bidi="ar-SA"/>
      </w:rPr>
    </w:lvl>
    <w:lvl w:ilvl="2" w:tplc="FFFFFFFF">
      <w:start w:val="1"/>
      <w:numFmt w:val="bullet"/>
      <w:lvlText w:val=""/>
      <w:lvlJc w:val="left"/>
      <w:pPr>
        <w:ind w:left="1180" w:hanging="360"/>
      </w:pPr>
      <w:rPr>
        <w:rFonts w:ascii="Arial" w:hAnsi="Arial" w:hint="default"/>
        <w:b w:val="0"/>
        <w:bCs w:val="0"/>
        <w:i w:val="0"/>
        <w:iCs w:val="0"/>
        <w:spacing w:val="0"/>
        <w:w w:val="131"/>
        <w:sz w:val="20"/>
        <w:szCs w:val="20"/>
        <w:lang w:val="en-US" w:eastAsia="en-US" w:bidi="ar-SA"/>
      </w:rPr>
    </w:lvl>
    <w:lvl w:ilvl="3" w:tplc="626AE9F2">
      <w:numFmt w:val="bullet"/>
      <w:lvlText w:val="•"/>
      <w:lvlJc w:val="left"/>
      <w:pPr>
        <w:ind w:left="1720" w:hanging="425"/>
      </w:pPr>
      <w:rPr>
        <w:rFonts w:hint="default"/>
        <w:lang w:val="en-US" w:eastAsia="en-US" w:bidi="ar-SA"/>
      </w:rPr>
    </w:lvl>
    <w:lvl w:ilvl="4" w:tplc="73A87F34">
      <w:numFmt w:val="bullet"/>
      <w:lvlText w:val="•"/>
      <w:lvlJc w:val="left"/>
      <w:pPr>
        <w:ind w:left="2983" w:hanging="425"/>
      </w:pPr>
      <w:rPr>
        <w:rFonts w:hint="default"/>
        <w:lang w:val="en-US" w:eastAsia="en-US" w:bidi="ar-SA"/>
      </w:rPr>
    </w:lvl>
    <w:lvl w:ilvl="5" w:tplc="71F2C042">
      <w:numFmt w:val="bullet"/>
      <w:lvlText w:val="•"/>
      <w:lvlJc w:val="left"/>
      <w:pPr>
        <w:ind w:left="4247" w:hanging="425"/>
      </w:pPr>
      <w:rPr>
        <w:rFonts w:hint="default"/>
        <w:lang w:val="en-US" w:eastAsia="en-US" w:bidi="ar-SA"/>
      </w:rPr>
    </w:lvl>
    <w:lvl w:ilvl="6" w:tplc="3794B674">
      <w:numFmt w:val="bullet"/>
      <w:lvlText w:val="•"/>
      <w:lvlJc w:val="left"/>
      <w:pPr>
        <w:ind w:left="5510" w:hanging="425"/>
      </w:pPr>
      <w:rPr>
        <w:rFonts w:hint="default"/>
        <w:lang w:val="en-US" w:eastAsia="en-US" w:bidi="ar-SA"/>
      </w:rPr>
    </w:lvl>
    <w:lvl w:ilvl="7" w:tplc="2D94E6A8">
      <w:numFmt w:val="bullet"/>
      <w:lvlText w:val="•"/>
      <w:lvlJc w:val="left"/>
      <w:pPr>
        <w:ind w:left="6774" w:hanging="425"/>
      </w:pPr>
      <w:rPr>
        <w:rFonts w:hint="default"/>
        <w:lang w:val="en-US" w:eastAsia="en-US" w:bidi="ar-SA"/>
      </w:rPr>
    </w:lvl>
    <w:lvl w:ilvl="8" w:tplc="61D82FCE">
      <w:numFmt w:val="bullet"/>
      <w:lvlText w:val="•"/>
      <w:lvlJc w:val="left"/>
      <w:pPr>
        <w:ind w:left="8037" w:hanging="425"/>
      </w:pPr>
      <w:rPr>
        <w:rFonts w:hint="default"/>
        <w:lang w:val="en-US" w:eastAsia="en-US" w:bidi="ar-SA"/>
      </w:rPr>
    </w:lvl>
  </w:abstractNum>
  <w:abstractNum w:abstractNumId="1" w15:restartNumberingAfterBreak="0">
    <w:nsid w:val="1BE30F29"/>
    <w:multiLevelType w:val="hybridMultilevel"/>
    <w:tmpl w:val="CDC6D34E"/>
    <w:lvl w:ilvl="0" w:tplc="FFFFFFFF">
      <w:start w:val="1"/>
      <w:numFmt w:val="decimal"/>
      <w:lvlText w:val="%1.0"/>
      <w:lvlJc w:val="left"/>
      <w:pPr>
        <w:ind w:left="1001" w:hanging="721"/>
      </w:pPr>
      <w:rPr>
        <w:rFonts w:ascii="Arial" w:eastAsia="Arial" w:hAnsi="Arial" w:cs="Arial" w:hint="default"/>
        <w:b w:val="0"/>
        <w:bCs w:val="0"/>
        <w:i w:val="0"/>
        <w:iCs w:val="0"/>
        <w:color w:val="E10917"/>
        <w:spacing w:val="-2"/>
        <w:w w:val="99"/>
        <w:sz w:val="24"/>
        <w:szCs w:val="24"/>
        <w:lang w:val="en-US" w:eastAsia="en-US" w:bidi="ar-SA"/>
      </w:rPr>
    </w:lvl>
    <w:lvl w:ilvl="1" w:tplc="FFFFFFFF">
      <w:numFmt w:val="bullet"/>
      <w:lvlText w:val=""/>
      <w:lvlJc w:val="left"/>
      <w:pPr>
        <w:ind w:left="1416" w:hanging="425"/>
      </w:pPr>
      <w:rPr>
        <w:rFonts w:ascii="Wingdings" w:eastAsia="Wingdings" w:hAnsi="Wingdings" w:cs="Wingdings" w:hint="default"/>
        <w:spacing w:val="0"/>
        <w:w w:val="100"/>
        <w:lang w:val="en-US" w:eastAsia="en-US" w:bidi="ar-SA"/>
      </w:rPr>
    </w:lvl>
    <w:lvl w:ilvl="2" w:tplc="7A2C7194">
      <w:start w:val="1"/>
      <w:numFmt w:val="bullet"/>
      <w:lvlText w:val=""/>
      <w:lvlJc w:val="left"/>
      <w:pPr>
        <w:ind w:left="1180" w:hanging="360"/>
      </w:pPr>
      <w:rPr>
        <w:rFonts w:ascii="Symbol" w:hAnsi="Symbol" w:hint="default"/>
        <w:color w:val="E51F30"/>
      </w:rPr>
    </w:lvl>
    <w:lvl w:ilvl="3" w:tplc="FFFFFFFF">
      <w:numFmt w:val="bullet"/>
      <w:lvlText w:val="•"/>
      <w:lvlJc w:val="left"/>
      <w:pPr>
        <w:ind w:left="1720" w:hanging="425"/>
      </w:pPr>
      <w:rPr>
        <w:rFonts w:hint="default"/>
        <w:lang w:val="en-US" w:eastAsia="en-US" w:bidi="ar-SA"/>
      </w:rPr>
    </w:lvl>
    <w:lvl w:ilvl="4" w:tplc="FFFFFFFF">
      <w:numFmt w:val="bullet"/>
      <w:lvlText w:val="•"/>
      <w:lvlJc w:val="left"/>
      <w:pPr>
        <w:ind w:left="2983" w:hanging="425"/>
      </w:pPr>
      <w:rPr>
        <w:rFonts w:hint="default"/>
        <w:lang w:val="en-US" w:eastAsia="en-US" w:bidi="ar-SA"/>
      </w:rPr>
    </w:lvl>
    <w:lvl w:ilvl="5" w:tplc="FFFFFFFF">
      <w:numFmt w:val="bullet"/>
      <w:lvlText w:val="•"/>
      <w:lvlJc w:val="left"/>
      <w:pPr>
        <w:ind w:left="4247" w:hanging="425"/>
      </w:pPr>
      <w:rPr>
        <w:rFonts w:hint="default"/>
        <w:lang w:val="en-US" w:eastAsia="en-US" w:bidi="ar-SA"/>
      </w:rPr>
    </w:lvl>
    <w:lvl w:ilvl="6" w:tplc="FFFFFFFF">
      <w:numFmt w:val="bullet"/>
      <w:lvlText w:val="•"/>
      <w:lvlJc w:val="left"/>
      <w:pPr>
        <w:ind w:left="5510" w:hanging="425"/>
      </w:pPr>
      <w:rPr>
        <w:rFonts w:hint="default"/>
        <w:lang w:val="en-US" w:eastAsia="en-US" w:bidi="ar-SA"/>
      </w:rPr>
    </w:lvl>
    <w:lvl w:ilvl="7" w:tplc="FFFFFFFF">
      <w:numFmt w:val="bullet"/>
      <w:lvlText w:val="•"/>
      <w:lvlJc w:val="left"/>
      <w:pPr>
        <w:ind w:left="6774" w:hanging="425"/>
      </w:pPr>
      <w:rPr>
        <w:rFonts w:hint="default"/>
        <w:lang w:val="en-US" w:eastAsia="en-US" w:bidi="ar-SA"/>
      </w:rPr>
    </w:lvl>
    <w:lvl w:ilvl="8" w:tplc="FFFFFFFF">
      <w:numFmt w:val="bullet"/>
      <w:lvlText w:val="•"/>
      <w:lvlJc w:val="left"/>
      <w:pPr>
        <w:ind w:left="8037" w:hanging="425"/>
      </w:pPr>
      <w:rPr>
        <w:rFonts w:hint="default"/>
        <w:lang w:val="en-US" w:eastAsia="en-US" w:bidi="ar-SA"/>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4D97524"/>
    <w:multiLevelType w:val="hybridMultilevel"/>
    <w:tmpl w:val="6D84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F82CA7"/>
    <w:multiLevelType w:val="hybridMultilevel"/>
    <w:tmpl w:val="7820C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E132AE"/>
    <w:multiLevelType w:val="hybridMultilevel"/>
    <w:tmpl w:val="13307A92"/>
    <w:lvl w:ilvl="0" w:tplc="7A2C7194">
      <w:start w:val="1"/>
      <w:numFmt w:val="bullet"/>
      <w:lvlText w:val=""/>
      <w:lvlJc w:val="left"/>
      <w:pPr>
        <w:ind w:left="720" w:hanging="360"/>
      </w:pPr>
      <w:rPr>
        <w:rFonts w:ascii="Symbol" w:hAnsi="Symbol" w:hint="default"/>
        <w:color w:val="E51F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0B7AA9"/>
    <w:multiLevelType w:val="multilevel"/>
    <w:tmpl w:val="D3142314"/>
    <w:lvl w:ilvl="0">
      <w:start w:val="2"/>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7" w15:restartNumberingAfterBreak="0">
    <w:nsid w:val="7EDE6E4F"/>
    <w:multiLevelType w:val="hybridMultilevel"/>
    <w:tmpl w:val="2390A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6001144">
    <w:abstractNumId w:val="2"/>
  </w:num>
  <w:num w:numId="2" w16cid:durableId="1551530776">
    <w:abstractNumId w:val="3"/>
  </w:num>
  <w:num w:numId="3" w16cid:durableId="1346175968">
    <w:abstractNumId w:val="4"/>
  </w:num>
  <w:num w:numId="4" w16cid:durableId="1185090504">
    <w:abstractNumId w:val="7"/>
  </w:num>
  <w:num w:numId="5" w16cid:durableId="2077821439">
    <w:abstractNumId w:val="6"/>
  </w:num>
  <w:num w:numId="6" w16cid:durableId="2028174348">
    <w:abstractNumId w:val="0"/>
  </w:num>
  <w:num w:numId="7" w16cid:durableId="1110078678">
    <w:abstractNumId w:val="1"/>
  </w:num>
  <w:num w:numId="8" w16cid:durableId="396905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36FB"/>
    <w:rsid w:val="00044B56"/>
    <w:rsid w:val="00045CD5"/>
    <w:rsid w:val="00067CB9"/>
    <w:rsid w:val="00071FDB"/>
    <w:rsid w:val="00082A07"/>
    <w:rsid w:val="00083BD1"/>
    <w:rsid w:val="00093360"/>
    <w:rsid w:val="000B4EF7"/>
    <w:rsid w:val="000C4F10"/>
    <w:rsid w:val="000C5E5E"/>
    <w:rsid w:val="000D0DB3"/>
    <w:rsid w:val="000E723E"/>
    <w:rsid w:val="000F2501"/>
    <w:rsid w:val="0010009C"/>
    <w:rsid w:val="00101EE6"/>
    <w:rsid w:val="0011510A"/>
    <w:rsid w:val="00126942"/>
    <w:rsid w:val="00136192"/>
    <w:rsid w:val="00137EE0"/>
    <w:rsid w:val="0014161F"/>
    <w:rsid w:val="00154586"/>
    <w:rsid w:val="00161CCA"/>
    <w:rsid w:val="00173DFF"/>
    <w:rsid w:val="00182480"/>
    <w:rsid w:val="001A32E2"/>
    <w:rsid w:val="001A4CAA"/>
    <w:rsid w:val="001A5BE0"/>
    <w:rsid w:val="001F57CC"/>
    <w:rsid w:val="00206788"/>
    <w:rsid w:val="00207A8C"/>
    <w:rsid w:val="0021590A"/>
    <w:rsid w:val="00223168"/>
    <w:rsid w:val="00223BD5"/>
    <w:rsid w:val="0026679C"/>
    <w:rsid w:val="002C0F1D"/>
    <w:rsid w:val="002D520B"/>
    <w:rsid w:val="002E4D9F"/>
    <w:rsid w:val="0030498F"/>
    <w:rsid w:val="00307EEE"/>
    <w:rsid w:val="00313EC5"/>
    <w:rsid w:val="00317F41"/>
    <w:rsid w:val="00327F64"/>
    <w:rsid w:val="00330858"/>
    <w:rsid w:val="00346818"/>
    <w:rsid w:val="0035053C"/>
    <w:rsid w:val="003578B6"/>
    <w:rsid w:val="00365BA3"/>
    <w:rsid w:val="00370363"/>
    <w:rsid w:val="00370FF3"/>
    <w:rsid w:val="00371B2C"/>
    <w:rsid w:val="00376B71"/>
    <w:rsid w:val="003811B3"/>
    <w:rsid w:val="00385DA0"/>
    <w:rsid w:val="003A21F6"/>
    <w:rsid w:val="003A404D"/>
    <w:rsid w:val="003A4C77"/>
    <w:rsid w:val="003A6A1C"/>
    <w:rsid w:val="003C7F8F"/>
    <w:rsid w:val="003D30C1"/>
    <w:rsid w:val="003E32B8"/>
    <w:rsid w:val="00402F2F"/>
    <w:rsid w:val="0041447C"/>
    <w:rsid w:val="0042028A"/>
    <w:rsid w:val="00440671"/>
    <w:rsid w:val="00473A40"/>
    <w:rsid w:val="00482965"/>
    <w:rsid w:val="0048458E"/>
    <w:rsid w:val="004A1480"/>
    <w:rsid w:val="004A3353"/>
    <w:rsid w:val="004B4123"/>
    <w:rsid w:val="004B5220"/>
    <w:rsid w:val="004C663C"/>
    <w:rsid w:val="004D2BC6"/>
    <w:rsid w:val="00503718"/>
    <w:rsid w:val="00531341"/>
    <w:rsid w:val="005500E3"/>
    <w:rsid w:val="00563D26"/>
    <w:rsid w:val="00565C5B"/>
    <w:rsid w:val="00567042"/>
    <w:rsid w:val="00576FAF"/>
    <w:rsid w:val="005921BC"/>
    <w:rsid w:val="00595728"/>
    <w:rsid w:val="005959AC"/>
    <w:rsid w:val="00595AD7"/>
    <w:rsid w:val="005A67C9"/>
    <w:rsid w:val="005B2F69"/>
    <w:rsid w:val="005B4B0B"/>
    <w:rsid w:val="005B504F"/>
    <w:rsid w:val="00610053"/>
    <w:rsid w:val="006242DE"/>
    <w:rsid w:val="00626F87"/>
    <w:rsid w:val="006376D0"/>
    <w:rsid w:val="0064139B"/>
    <w:rsid w:val="0065216A"/>
    <w:rsid w:val="00653D20"/>
    <w:rsid w:val="006559D1"/>
    <w:rsid w:val="00655A45"/>
    <w:rsid w:val="00667D58"/>
    <w:rsid w:val="00681187"/>
    <w:rsid w:val="0068595C"/>
    <w:rsid w:val="00692F80"/>
    <w:rsid w:val="006E0775"/>
    <w:rsid w:val="006F00E9"/>
    <w:rsid w:val="00706DAF"/>
    <w:rsid w:val="00712201"/>
    <w:rsid w:val="007152C6"/>
    <w:rsid w:val="007242E2"/>
    <w:rsid w:val="007263A2"/>
    <w:rsid w:val="007308D7"/>
    <w:rsid w:val="00734575"/>
    <w:rsid w:val="00734762"/>
    <w:rsid w:val="00740891"/>
    <w:rsid w:val="00770AC4"/>
    <w:rsid w:val="007842D4"/>
    <w:rsid w:val="00792B4F"/>
    <w:rsid w:val="00795058"/>
    <w:rsid w:val="007977CC"/>
    <w:rsid w:val="007D7EEB"/>
    <w:rsid w:val="007E1BF7"/>
    <w:rsid w:val="00800FD6"/>
    <w:rsid w:val="0081281A"/>
    <w:rsid w:val="00826E5B"/>
    <w:rsid w:val="00835DC3"/>
    <w:rsid w:val="008422E5"/>
    <w:rsid w:val="00864393"/>
    <w:rsid w:val="0086676E"/>
    <w:rsid w:val="00875352"/>
    <w:rsid w:val="0089633D"/>
    <w:rsid w:val="008B41A8"/>
    <w:rsid w:val="008C236D"/>
    <w:rsid w:val="008E4FB5"/>
    <w:rsid w:val="008F1B58"/>
    <w:rsid w:val="008F281D"/>
    <w:rsid w:val="008F3304"/>
    <w:rsid w:val="0092172D"/>
    <w:rsid w:val="00922552"/>
    <w:rsid w:val="00941910"/>
    <w:rsid w:val="0095376D"/>
    <w:rsid w:val="009666C2"/>
    <w:rsid w:val="00975E42"/>
    <w:rsid w:val="00982119"/>
    <w:rsid w:val="009972DA"/>
    <w:rsid w:val="009B3E62"/>
    <w:rsid w:val="009C1F4C"/>
    <w:rsid w:val="009D5528"/>
    <w:rsid w:val="009F0241"/>
    <w:rsid w:val="009F078D"/>
    <w:rsid w:val="009F2805"/>
    <w:rsid w:val="00A001C9"/>
    <w:rsid w:val="00A22BD8"/>
    <w:rsid w:val="00A23761"/>
    <w:rsid w:val="00A349B4"/>
    <w:rsid w:val="00A353A9"/>
    <w:rsid w:val="00A36967"/>
    <w:rsid w:val="00A53BD0"/>
    <w:rsid w:val="00A63BCC"/>
    <w:rsid w:val="00A75B23"/>
    <w:rsid w:val="00A75CEA"/>
    <w:rsid w:val="00AB109D"/>
    <w:rsid w:val="00AB7EEE"/>
    <w:rsid w:val="00AE055E"/>
    <w:rsid w:val="00AE0C11"/>
    <w:rsid w:val="00AE23B9"/>
    <w:rsid w:val="00AE3172"/>
    <w:rsid w:val="00AE3198"/>
    <w:rsid w:val="00B11066"/>
    <w:rsid w:val="00B1453A"/>
    <w:rsid w:val="00B146A1"/>
    <w:rsid w:val="00B26A14"/>
    <w:rsid w:val="00B32A03"/>
    <w:rsid w:val="00B35A3F"/>
    <w:rsid w:val="00B5415E"/>
    <w:rsid w:val="00B552A4"/>
    <w:rsid w:val="00B67C41"/>
    <w:rsid w:val="00B821C3"/>
    <w:rsid w:val="00BA1C93"/>
    <w:rsid w:val="00BE7869"/>
    <w:rsid w:val="00BF0F60"/>
    <w:rsid w:val="00C02AFD"/>
    <w:rsid w:val="00C02BCC"/>
    <w:rsid w:val="00C03BCB"/>
    <w:rsid w:val="00C23B2D"/>
    <w:rsid w:val="00C81FFD"/>
    <w:rsid w:val="00C96D1E"/>
    <w:rsid w:val="00CC7291"/>
    <w:rsid w:val="00CE43DA"/>
    <w:rsid w:val="00CE4A14"/>
    <w:rsid w:val="00CF40AF"/>
    <w:rsid w:val="00CF7184"/>
    <w:rsid w:val="00D0037E"/>
    <w:rsid w:val="00D07372"/>
    <w:rsid w:val="00D1066C"/>
    <w:rsid w:val="00D10FAC"/>
    <w:rsid w:val="00D17290"/>
    <w:rsid w:val="00D40DE1"/>
    <w:rsid w:val="00D54B6E"/>
    <w:rsid w:val="00D55C83"/>
    <w:rsid w:val="00D61DBD"/>
    <w:rsid w:val="00D66767"/>
    <w:rsid w:val="00D72AB1"/>
    <w:rsid w:val="00D9172A"/>
    <w:rsid w:val="00D927B7"/>
    <w:rsid w:val="00DA3DF7"/>
    <w:rsid w:val="00DA4AA2"/>
    <w:rsid w:val="00DA76FE"/>
    <w:rsid w:val="00DB25E2"/>
    <w:rsid w:val="00DC7799"/>
    <w:rsid w:val="00E040ED"/>
    <w:rsid w:val="00E3020D"/>
    <w:rsid w:val="00E32E0E"/>
    <w:rsid w:val="00E449D4"/>
    <w:rsid w:val="00E57E8A"/>
    <w:rsid w:val="00E63552"/>
    <w:rsid w:val="00E770BD"/>
    <w:rsid w:val="00E862EA"/>
    <w:rsid w:val="00E9662A"/>
    <w:rsid w:val="00EB042B"/>
    <w:rsid w:val="00EB78CB"/>
    <w:rsid w:val="00EC2557"/>
    <w:rsid w:val="00ED128F"/>
    <w:rsid w:val="00EF023C"/>
    <w:rsid w:val="00EF5441"/>
    <w:rsid w:val="00EF645F"/>
    <w:rsid w:val="00F05101"/>
    <w:rsid w:val="00F14299"/>
    <w:rsid w:val="00F25D45"/>
    <w:rsid w:val="00F31491"/>
    <w:rsid w:val="00F413B0"/>
    <w:rsid w:val="00F41567"/>
    <w:rsid w:val="00F55427"/>
    <w:rsid w:val="00F65007"/>
    <w:rsid w:val="00F73778"/>
    <w:rsid w:val="00F77E4D"/>
    <w:rsid w:val="00F925C8"/>
    <w:rsid w:val="00F95427"/>
    <w:rsid w:val="00FA1D0A"/>
    <w:rsid w:val="00FA2726"/>
    <w:rsid w:val="00FB06C7"/>
    <w:rsid w:val="00FB67BD"/>
    <w:rsid w:val="00FC1C25"/>
    <w:rsid w:val="00FD3EED"/>
    <w:rsid w:val="0556CEEB"/>
    <w:rsid w:val="0563A5F6"/>
    <w:rsid w:val="0845B242"/>
    <w:rsid w:val="0919177E"/>
    <w:rsid w:val="09CCBBDA"/>
    <w:rsid w:val="0ABA2F5D"/>
    <w:rsid w:val="12237711"/>
    <w:rsid w:val="12FC0CF5"/>
    <w:rsid w:val="13D56F36"/>
    <w:rsid w:val="14ECAFFB"/>
    <w:rsid w:val="1667468A"/>
    <w:rsid w:val="19688BE9"/>
    <w:rsid w:val="19C4F864"/>
    <w:rsid w:val="1A9A14AC"/>
    <w:rsid w:val="1C5A4479"/>
    <w:rsid w:val="1D3389FB"/>
    <w:rsid w:val="1DD9EA9A"/>
    <w:rsid w:val="210FF0E6"/>
    <w:rsid w:val="2118799A"/>
    <w:rsid w:val="22FB3D0F"/>
    <w:rsid w:val="270CD514"/>
    <w:rsid w:val="29B45835"/>
    <w:rsid w:val="2A527AC5"/>
    <w:rsid w:val="2C749BBA"/>
    <w:rsid w:val="2CF284F5"/>
    <w:rsid w:val="2DDCD23B"/>
    <w:rsid w:val="3066894D"/>
    <w:rsid w:val="31BA1121"/>
    <w:rsid w:val="33E74E32"/>
    <w:rsid w:val="35CF3BF8"/>
    <w:rsid w:val="37A1684E"/>
    <w:rsid w:val="3996D8B8"/>
    <w:rsid w:val="3D6D0803"/>
    <w:rsid w:val="3EB03266"/>
    <w:rsid w:val="40C98232"/>
    <w:rsid w:val="41F40A86"/>
    <w:rsid w:val="431949F2"/>
    <w:rsid w:val="503CA835"/>
    <w:rsid w:val="50A8D135"/>
    <w:rsid w:val="54AED72E"/>
    <w:rsid w:val="58D38D70"/>
    <w:rsid w:val="598C8DFC"/>
    <w:rsid w:val="59B50917"/>
    <w:rsid w:val="5BD59B8D"/>
    <w:rsid w:val="5DFBC13D"/>
    <w:rsid w:val="5E09DDB3"/>
    <w:rsid w:val="632101EF"/>
    <w:rsid w:val="67E6DD75"/>
    <w:rsid w:val="713A269A"/>
    <w:rsid w:val="73ECE0D6"/>
    <w:rsid w:val="7633407F"/>
    <w:rsid w:val="778B0814"/>
    <w:rsid w:val="78E3CBE2"/>
    <w:rsid w:val="7961FC37"/>
    <w:rsid w:val="7CF75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F414A53F-FB4B-4680-97F3-097BC80B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Revision">
    <w:name w:val="Revision"/>
    <w:hidden/>
    <w:uiPriority w:val="99"/>
    <w:semiHidden/>
    <w:rsid w:val="005A67C9"/>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E57E8A"/>
    <w:rPr>
      <w:sz w:val="16"/>
      <w:szCs w:val="16"/>
    </w:rPr>
  </w:style>
  <w:style w:type="paragraph" w:styleId="CommentText">
    <w:name w:val="annotation text"/>
    <w:basedOn w:val="Normal"/>
    <w:link w:val="CommentTextChar"/>
    <w:uiPriority w:val="99"/>
    <w:unhideWhenUsed/>
    <w:rsid w:val="00E57E8A"/>
    <w:rPr>
      <w:sz w:val="20"/>
      <w:szCs w:val="20"/>
    </w:rPr>
  </w:style>
  <w:style w:type="character" w:customStyle="1" w:styleId="CommentTextChar">
    <w:name w:val="Comment Text Char"/>
    <w:basedOn w:val="DefaultParagraphFont"/>
    <w:link w:val="CommentText"/>
    <w:uiPriority w:val="99"/>
    <w:rsid w:val="00E57E8A"/>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E57E8A"/>
    <w:rPr>
      <w:b/>
      <w:bCs/>
    </w:rPr>
  </w:style>
  <w:style w:type="character" w:customStyle="1" w:styleId="CommentSubjectChar">
    <w:name w:val="Comment Subject Char"/>
    <w:basedOn w:val="CommentTextChar"/>
    <w:link w:val="CommentSubject"/>
    <w:uiPriority w:val="99"/>
    <w:semiHidden/>
    <w:rsid w:val="00E57E8A"/>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fbc8a505136d7fb002daaae4d48462e9">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0997dfbf88ad6c7eafd854bff44fbbb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D7CF9-AC66-48CD-884E-2E9C153722BF}">
  <ds:schemaRefs>
    <ds:schemaRef ds:uri="ef98ed33-5c40-4c92-a880-1f7729e6c933"/>
    <ds:schemaRef ds:uri="http://schemas.microsoft.com/sharepoint/v3"/>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purl.org/dc/terms/"/>
    <ds:schemaRef ds:uri="0fa0b461-26d9-41f0-8c4a-898a6e0ed324"/>
  </ds:schemaRefs>
</ds:datastoreItem>
</file>

<file path=customXml/itemProps2.xml><?xml version="1.0" encoding="utf-8"?>
<ds:datastoreItem xmlns:ds="http://schemas.openxmlformats.org/officeDocument/2006/customXml" ds:itemID="{16366764-1D87-45EA-BEDA-E5832211B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BE910-17D9-4416-A070-1C22D7DC4EDF}">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816</Words>
  <Characters>5402</Characters>
  <Application>Microsoft Office Word</Application>
  <DocSecurity>4</DocSecurity>
  <Lines>120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Tanya Stephenson</cp:lastModifiedBy>
  <cp:revision>2</cp:revision>
  <dcterms:created xsi:type="dcterms:W3CDTF">2025-11-24T03:19:00Z</dcterms:created>
  <dcterms:modified xsi:type="dcterms:W3CDTF">2025-11-24T03:19:00Z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MSIP_Label_adaa4be3-f650-4692-881a-64ae220cbceb_Enabled">
    <vt:lpwstr>true</vt:lpwstr>
  </property>
  <property fmtid="{D5CDD505-2E9C-101B-9397-08002B2CF9AE}" pid="4" name="MSIP_Label_adaa4be3-f650-4692-881a-64ae220cbceb_SetDate">
    <vt:lpwstr>2023-01-05T05:40:56Z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a231ffec-0b67-48b6-b669-e3eb99e8a40f</vt:lpwstr>
  </property>
  <property fmtid="{D5CDD505-2E9C-101B-9397-08002B2CF9AE}" pid="9" name="MSIP_Label_adaa4be3-f650-4692-881a-64ae220cbceb_ContentBits">
    <vt:lpwstr>0</vt:lpwstr>
  </property>
  <property fmtid="{D5CDD505-2E9C-101B-9397-08002B2CF9AE}" pid="10" name="GrammarlyDocumentId">
    <vt:lpwstr>bf7ec0d0ea8123c1c2fe3a755e82effd348b6f0b2d4b753820d69c751dc13f68</vt:lpwstr>
  </property>
</Properties>
</file>