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7C27F4">
      <w:pPr>
        <w:jc w:val="both"/>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trPr>
          <w:trHeight w:val="460"/>
          <w:jc w:val="center"/>
        </w:trPr>
        <w:tc>
          <w:tcPr>
            <w:tcW w:w="2875" w:type="dxa"/>
            <w:shd w:val="clear" w:color="auto" w:fill="D9D9D9" w:themeFill="background1" w:themeFillShade="D9"/>
          </w:tcPr>
          <w:p w14:paraId="4D89E451"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1305A578" w:rsidR="00E449D4" w:rsidRPr="00C138CC" w:rsidRDefault="002A1FFC">
            <w:pPr>
              <w:jc w:val="both"/>
              <w:rPr>
                <w:rFonts w:ascii="Arial" w:hAnsi="Arial" w:cs="Arial"/>
                <w:sz w:val="20"/>
                <w:szCs w:val="20"/>
              </w:rPr>
            </w:pPr>
            <w:r>
              <w:rPr>
                <w:rFonts w:ascii="Arial" w:hAnsi="Arial" w:cs="Arial"/>
                <w:sz w:val="20"/>
                <w:szCs w:val="20"/>
              </w:rPr>
              <w:t>IT Director, Learning and Teaching</w:t>
            </w:r>
          </w:p>
        </w:tc>
      </w:tr>
      <w:tr w:rsidR="00E449D4" w:rsidRPr="00C138CC" w14:paraId="61B9059B" w14:textId="77777777">
        <w:trPr>
          <w:trHeight w:val="460"/>
          <w:jc w:val="center"/>
        </w:trPr>
        <w:tc>
          <w:tcPr>
            <w:tcW w:w="2875" w:type="dxa"/>
            <w:shd w:val="clear" w:color="auto" w:fill="D9D9D9" w:themeFill="background1" w:themeFillShade="D9"/>
          </w:tcPr>
          <w:p w14:paraId="49E267B4"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2796CB06" w:rsidR="00E449D4" w:rsidRPr="00C138CC" w:rsidRDefault="002A1FFC">
            <w:pPr>
              <w:jc w:val="both"/>
              <w:rPr>
                <w:rFonts w:ascii="Arial" w:hAnsi="Arial" w:cs="Arial"/>
                <w:sz w:val="20"/>
                <w:szCs w:val="20"/>
              </w:rPr>
            </w:pPr>
            <w:r>
              <w:rPr>
                <w:rFonts w:ascii="Arial" w:hAnsi="Arial" w:cs="Arial"/>
                <w:sz w:val="20"/>
                <w:szCs w:val="20"/>
              </w:rPr>
              <w:t>Digital Solutions</w:t>
            </w:r>
          </w:p>
        </w:tc>
      </w:tr>
      <w:tr w:rsidR="00E449D4" w:rsidRPr="00C138CC" w14:paraId="099F77AA" w14:textId="77777777">
        <w:trPr>
          <w:trHeight w:val="460"/>
          <w:jc w:val="center"/>
        </w:trPr>
        <w:tc>
          <w:tcPr>
            <w:tcW w:w="2875" w:type="dxa"/>
            <w:shd w:val="clear" w:color="auto" w:fill="D9D9D9" w:themeFill="background1" w:themeFillShade="D9"/>
          </w:tcPr>
          <w:p w14:paraId="1218FF3A"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471EF6A2" w:rsidR="00E449D4" w:rsidRPr="00C138CC" w:rsidRDefault="002A1FFC">
            <w:pPr>
              <w:jc w:val="both"/>
              <w:rPr>
                <w:rFonts w:ascii="Arial" w:hAnsi="Arial" w:cs="Arial"/>
                <w:sz w:val="20"/>
                <w:szCs w:val="20"/>
              </w:rPr>
            </w:pPr>
            <w:r>
              <w:rPr>
                <w:rFonts w:ascii="Arial" w:hAnsi="Arial" w:cs="Arial"/>
                <w:sz w:val="20"/>
                <w:szCs w:val="20"/>
              </w:rPr>
              <w:t>Senior Contract</w:t>
            </w:r>
          </w:p>
        </w:tc>
      </w:tr>
      <w:tr w:rsidR="00E449D4" w:rsidRPr="00C138CC" w14:paraId="3786F4A0" w14:textId="77777777">
        <w:trPr>
          <w:trHeight w:val="460"/>
          <w:jc w:val="center"/>
        </w:trPr>
        <w:tc>
          <w:tcPr>
            <w:tcW w:w="2875" w:type="dxa"/>
            <w:shd w:val="clear" w:color="auto" w:fill="D9D9D9" w:themeFill="background1" w:themeFillShade="D9"/>
          </w:tcPr>
          <w:p w14:paraId="45BE6BE8"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4F922BD9" w:rsidR="00E449D4" w:rsidRPr="00C138CC" w:rsidRDefault="002A1FFC">
            <w:pPr>
              <w:jc w:val="both"/>
              <w:rPr>
                <w:rFonts w:ascii="Arial" w:hAnsi="Arial" w:cs="Arial"/>
                <w:sz w:val="20"/>
                <w:szCs w:val="20"/>
              </w:rPr>
            </w:pPr>
            <w:r w:rsidRPr="002A1FFC">
              <w:rPr>
                <w:rFonts w:ascii="Arial" w:hAnsi="Arial" w:cs="Arial"/>
                <w:sz w:val="20"/>
                <w:szCs w:val="20"/>
              </w:rPr>
              <w:t>00057469</w:t>
            </w:r>
          </w:p>
        </w:tc>
      </w:tr>
      <w:tr w:rsidR="00E449D4" w:rsidRPr="00C138CC" w14:paraId="338952F8" w14:textId="77777777">
        <w:trPr>
          <w:trHeight w:val="460"/>
          <w:jc w:val="center"/>
        </w:trPr>
        <w:tc>
          <w:tcPr>
            <w:tcW w:w="2875" w:type="dxa"/>
            <w:shd w:val="clear" w:color="auto" w:fill="D9D9D9" w:themeFill="background1" w:themeFillShade="D9"/>
          </w:tcPr>
          <w:p w14:paraId="4F637EB5"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11F9BA3B" w:rsidR="00E449D4" w:rsidRPr="00C138CC" w:rsidRDefault="002A1FFC">
            <w:pPr>
              <w:jc w:val="both"/>
              <w:rPr>
                <w:rFonts w:ascii="Arial" w:hAnsi="Arial" w:cs="Arial"/>
                <w:sz w:val="20"/>
                <w:szCs w:val="20"/>
              </w:rPr>
            </w:pPr>
            <w:r>
              <w:rPr>
                <w:rFonts w:ascii="Arial" w:hAnsi="Arial" w:cs="Arial"/>
                <w:sz w:val="20"/>
                <w:szCs w:val="20"/>
              </w:rPr>
              <w:t>Chief Digital Officer</w:t>
            </w:r>
          </w:p>
        </w:tc>
      </w:tr>
      <w:tr w:rsidR="00E449D4" w:rsidRPr="00C138CC" w14:paraId="1D60EE41" w14:textId="77777777">
        <w:trPr>
          <w:trHeight w:val="460"/>
          <w:jc w:val="center"/>
        </w:trPr>
        <w:tc>
          <w:tcPr>
            <w:tcW w:w="2875" w:type="dxa"/>
            <w:shd w:val="clear" w:color="auto" w:fill="D9D9D9" w:themeFill="background1" w:themeFillShade="D9"/>
          </w:tcPr>
          <w:p w14:paraId="3640BDAD" w14:textId="77777777" w:rsidR="00E449D4" w:rsidRPr="00C138CC" w:rsidRDefault="00E449D4">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652630DA" w:rsidR="00E449D4" w:rsidRPr="002A1FFC" w:rsidRDefault="00F70A73">
            <w:pPr>
              <w:rPr>
                <w:rFonts w:ascii="Arial" w:hAnsi="Arial" w:cs="Arial"/>
                <w:sz w:val="20"/>
                <w:szCs w:val="20"/>
              </w:rPr>
            </w:pPr>
            <w:r w:rsidRPr="002A1FFC">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1CEF2ABE" w14:textId="41A9B11A" w:rsidR="002A1FFC" w:rsidRPr="002A1FFC" w:rsidRDefault="00E449D4" w:rsidP="002A1FFC">
      <w:pPr>
        <w:pStyle w:val="Heading2"/>
        <w:numPr>
          <w:ilvl w:val="0"/>
          <w:numId w:val="3"/>
        </w:numPr>
        <w:tabs>
          <w:tab w:val="left" w:pos="862"/>
        </w:tabs>
        <w:rPr>
          <w:rFonts w:ascii="Arial" w:hAnsi="Arial" w:cs="Arial"/>
          <w:color w:val="E20917"/>
        </w:rPr>
      </w:pPr>
      <w:r w:rsidRPr="00C138CC">
        <w:rPr>
          <w:rFonts w:ascii="Arial" w:hAnsi="Arial" w:cs="Arial"/>
          <w:color w:val="E20917"/>
        </w:rPr>
        <w:t>Position Purpose</w:t>
      </w:r>
      <w:r w:rsidR="002A1FFC">
        <w:rPr>
          <w:rFonts w:ascii="Arial" w:hAnsi="Arial" w:cs="Arial"/>
          <w:color w:val="E20917"/>
        </w:rPr>
        <w:br/>
      </w:r>
    </w:p>
    <w:p w14:paraId="7B993E61" w14:textId="77777777" w:rsidR="002A1FFC" w:rsidRDefault="002A1FFC" w:rsidP="002A1FFC">
      <w:pPr>
        <w:ind w:left="851"/>
        <w:rPr>
          <w:rFonts w:ascii="Arial" w:hAnsi="Arial" w:cs="Arial"/>
          <w:sz w:val="20"/>
          <w:szCs w:val="20"/>
        </w:rPr>
      </w:pPr>
      <w:r w:rsidRPr="002A1FFC">
        <w:rPr>
          <w:rFonts w:ascii="Arial" w:hAnsi="Arial" w:cs="Arial"/>
          <w:sz w:val="20"/>
          <w:szCs w:val="20"/>
        </w:rPr>
        <w:t>Digital Solutions is a value-driven strategic digital partner focused on delivering leading digital experiences for our students, staff, researchers, partners and community. The portfolio works within a contemporary operating model and is modernising Griffith’s technologies, services, platforms and ways of working to create value, improve institutional performance and enable the University’s digital future.</w:t>
      </w:r>
    </w:p>
    <w:p w14:paraId="5CF0D530" w14:textId="77777777" w:rsidR="002A1FFC" w:rsidRPr="002A1FFC" w:rsidRDefault="002A1FFC" w:rsidP="002A1FFC">
      <w:pPr>
        <w:ind w:left="851"/>
        <w:rPr>
          <w:rFonts w:ascii="Arial" w:hAnsi="Arial" w:cs="Arial"/>
          <w:sz w:val="20"/>
          <w:szCs w:val="20"/>
        </w:rPr>
      </w:pPr>
    </w:p>
    <w:p w14:paraId="40FAFB96" w14:textId="77777777" w:rsidR="002A1FFC" w:rsidRDefault="002A1FFC" w:rsidP="002A1FFC">
      <w:pPr>
        <w:ind w:left="851"/>
        <w:rPr>
          <w:rFonts w:ascii="Arial" w:hAnsi="Arial" w:cs="Arial"/>
          <w:sz w:val="20"/>
          <w:szCs w:val="20"/>
        </w:rPr>
      </w:pPr>
      <w:r w:rsidRPr="002A1FFC">
        <w:rPr>
          <w:rFonts w:ascii="Arial" w:hAnsi="Arial" w:cs="Arial"/>
          <w:sz w:val="20"/>
          <w:szCs w:val="20"/>
        </w:rPr>
        <w:t>The Director, Learning and Teaching provides end-to-end leadership and accountability for the Learning and Teaching digital domain, including the strategy, performance, service quality, delivery maturity and stakeholder partnerships required to support contemporary learning, teaching and student experience outcomes. The role provides a clear, accountable entry point into Digital Solutions for senior academic and professional stakeholders, ensuring demand, priorities, risks, decisions and delivery commitments are transparent and actively managed.</w:t>
      </w:r>
    </w:p>
    <w:p w14:paraId="50CC4590" w14:textId="77777777" w:rsidR="002A1FFC" w:rsidRPr="002A1FFC" w:rsidRDefault="002A1FFC" w:rsidP="002A1FFC">
      <w:pPr>
        <w:ind w:left="851"/>
        <w:rPr>
          <w:rFonts w:ascii="Arial" w:hAnsi="Arial" w:cs="Arial"/>
          <w:sz w:val="20"/>
          <w:szCs w:val="20"/>
        </w:rPr>
      </w:pPr>
    </w:p>
    <w:p w14:paraId="77927624" w14:textId="77777777" w:rsidR="002A1FFC" w:rsidRPr="002A1FFC" w:rsidRDefault="002A1FFC" w:rsidP="002A1FFC">
      <w:pPr>
        <w:ind w:left="851"/>
        <w:rPr>
          <w:rFonts w:ascii="Arial" w:hAnsi="Arial" w:cs="Arial"/>
          <w:sz w:val="20"/>
          <w:szCs w:val="20"/>
        </w:rPr>
      </w:pPr>
      <w:r w:rsidRPr="002A1FFC">
        <w:rPr>
          <w:rFonts w:ascii="Arial" w:hAnsi="Arial" w:cs="Arial"/>
          <w:sz w:val="20"/>
          <w:szCs w:val="20"/>
        </w:rPr>
        <w:t>As a senior leader in Digital Solutions, the Director is expected to lift team performance and leadership maturity, strengthen delivery discipline, identify and act on opportunities for improvement, manage performance constructively and transparently, and build trusted partnerships across Colleges, Schools, central portfolios, vendors and governance forums. The role requires visible leadership, clear accountability, evidence-based decision-making, strong communication and a sustained focus on value, service excellence, operational resilience and continuous improvement.</w:t>
      </w:r>
    </w:p>
    <w:p w14:paraId="3C0D7325" w14:textId="77777777" w:rsidR="00E449D4" w:rsidRPr="00C138CC" w:rsidRDefault="00E449D4" w:rsidP="007C27F4">
      <w:pPr>
        <w:pStyle w:val="Heading2"/>
        <w:tabs>
          <w:tab w:val="left" w:pos="862"/>
        </w:tabs>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7C27F4">
      <w:pPr>
        <w:pStyle w:val="Default"/>
        <w:jc w:val="both"/>
        <w:rPr>
          <w:b/>
          <w:i/>
          <w:color w:val="auto"/>
          <w:sz w:val="20"/>
          <w:szCs w:val="20"/>
        </w:rPr>
      </w:pPr>
    </w:p>
    <w:p w14:paraId="5E6A35C7"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sz w:val="20"/>
        </w:rPr>
        <w:t>Postgraduate qualifications and extensive relevant experience, or an equivalent combination of senior leadership experience, education and training in a complex digital, technology, service delivery or enterprise environment.</w:t>
      </w:r>
    </w:p>
    <w:p w14:paraId="2B9DEBDC"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sz w:val="20"/>
        </w:rPr>
        <w:t>Demonstrated senior leadership experience in digital or technology domains that support learning, teaching, student experience, academic operations or comparable enterprise services in a large and complex organisation.</w:t>
      </w:r>
    </w:p>
    <w:p w14:paraId="646E2538"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sz w:val="20"/>
        </w:rPr>
        <w:t>Proven ability to lead multidisciplinary teams, lift performance, build capability, address underperformance, strengthen accountability and create a constructive, service-oriented and delivery-focused culture.</w:t>
      </w:r>
    </w:p>
    <w:p w14:paraId="7096CE6D"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sz w:val="20"/>
        </w:rPr>
        <w:t>Demonstrated experience engaging senior stakeholders, shaping demand, influencing priorities, managing expectations and translating institutional, academic and operational needs into practical digital roadmaps and delivery outcomes.</w:t>
      </w:r>
    </w:p>
    <w:p w14:paraId="647A19D1" w14:textId="77777777" w:rsid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sz w:val="20"/>
        </w:rPr>
        <w:lastRenderedPageBreak/>
        <w:t>Strong commercial, financial, vendor and risk management capability, including the ability to manage budgets, supplier performance, service levels, delivery commitments and governance obligations with transparency and discipline.</w:t>
      </w:r>
    </w:p>
    <w:p w14:paraId="1D8360F2" w14:textId="77777777" w:rsidR="00F25292" w:rsidRPr="002A1FFC" w:rsidRDefault="00F25292" w:rsidP="00F25292">
      <w:pPr>
        <w:pStyle w:val="ListParagraph"/>
        <w:tabs>
          <w:tab w:val="left" w:pos="1180"/>
          <w:tab w:val="left" w:pos="1181"/>
        </w:tabs>
        <w:ind w:left="1180" w:right="95"/>
        <w:rPr>
          <w:rFonts w:ascii="Arial" w:hAnsi="Arial" w:cs="Arial"/>
          <w:sz w:val="20"/>
        </w:rPr>
      </w:pPr>
    </w:p>
    <w:p w14:paraId="35D0314E" w14:textId="3ACD60DF" w:rsidR="00E449D4" w:rsidRDefault="00F25292" w:rsidP="00F25292">
      <w:pPr>
        <w:pStyle w:val="Heading2"/>
        <w:tabs>
          <w:tab w:val="left" w:pos="993"/>
        </w:tabs>
        <w:spacing w:before="0"/>
        <w:ind w:left="851" w:right="95" w:hanging="425"/>
        <w:rPr>
          <w:rFonts w:ascii="Arial" w:hAnsi="Arial" w:cs="Arial"/>
          <w:color w:val="E20917"/>
        </w:rPr>
      </w:pPr>
      <w:r>
        <w:rPr>
          <w:rFonts w:ascii="Arial" w:hAnsi="Arial" w:cs="Arial"/>
          <w:color w:val="E20917"/>
        </w:rPr>
        <w:t xml:space="preserve">3.0 </w:t>
      </w:r>
      <w:r>
        <w:rPr>
          <w:rFonts w:ascii="Arial" w:hAnsi="Arial" w:cs="Arial"/>
          <w:color w:val="E20917"/>
        </w:rPr>
        <w:tab/>
      </w:r>
      <w:r>
        <w:rPr>
          <w:rFonts w:ascii="Arial" w:hAnsi="Arial" w:cs="Arial"/>
          <w:color w:val="E20917"/>
        </w:rPr>
        <w:tab/>
      </w:r>
      <w:r w:rsidR="00E449D4" w:rsidRPr="00C138CC">
        <w:rPr>
          <w:rFonts w:ascii="Arial" w:hAnsi="Arial" w:cs="Arial"/>
          <w:color w:val="E20917"/>
        </w:rPr>
        <w:t>Key Responsibilities</w:t>
      </w:r>
    </w:p>
    <w:p w14:paraId="0A034F99" w14:textId="77777777" w:rsidR="00F25292" w:rsidRPr="00C138CC" w:rsidRDefault="00F25292" w:rsidP="00F25292">
      <w:pPr>
        <w:pStyle w:val="Heading2"/>
        <w:tabs>
          <w:tab w:val="left" w:pos="862"/>
        </w:tabs>
        <w:spacing w:before="0"/>
        <w:ind w:left="878" w:right="95" w:firstLine="0"/>
        <w:rPr>
          <w:rFonts w:ascii="Arial" w:hAnsi="Arial" w:cs="Arial"/>
          <w:color w:val="E20917"/>
        </w:rPr>
      </w:pPr>
    </w:p>
    <w:p w14:paraId="6DACBD85"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Domain leadership and accountability.</w:t>
      </w:r>
      <w:r w:rsidRPr="002A1FFC">
        <w:rPr>
          <w:rFonts w:ascii="Arial" w:hAnsi="Arial" w:cs="Arial"/>
          <w:sz w:val="20"/>
        </w:rPr>
        <w:t xml:space="preserve"> Lead the Learning and Teaching digital domain on behalf of Digital Solutions, providing clear ownership of domain strategy, service performance, delivery priorities, risks, issues, dependencies and stakeholder outcomes. Establish and maintain a transparent operating rhythm that gives the Chief Digital Officer, governance bodies and senior stakeholders confidence in performance, progress and areas requiring decision or intervention.</w:t>
      </w:r>
    </w:p>
    <w:p w14:paraId="16EF88E9"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Learning and teaching digital strategy.</w:t>
      </w:r>
      <w:r w:rsidRPr="002A1FFC">
        <w:rPr>
          <w:rFonts w:ascii="Arial" w:hAnsi="Arial" w:cs="Arial"/>
          <w:sz w:val="20"/>
        </w:rPr>
        <w:t xml:space="preserve"> Develop, maintain and communicate a forward-looking domain roadmap that supports Griffith’s learning, teaching and student experience priorities. Identify opportunities to simplify, modernise, rationalise or better integrate platforms, processes and services, ensuring future investment is aligned to institutional value, user experience, sustainability and risk reduction.</w:t>
      </w:r>
    </w:p>
    <w:p w14:paraId="7E641434"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Leadership, team performance and maturity uplift.</w:t>
      </w:r>
      <w:r w:rsidRPr="002A1FFC">
        <w:rPr>
          <w:rFonts w:ascii="Arial" w:hAnsi="Arial" w:cs="Arial"/>
          <w:sz w:val="20"/>
        </w:rPr>
        <w:t xml:space="preserve"> Provide visible, constructive and accountable leadership to the Learning and Teaching team. Set clear expectations, define priorities, delegate effectively, coach leaders and team members, and build the capability, resilience and maturity required to operate as a high-performing, trusted digital partner. Actively identify capability gaps, workforce risks and improvement opportunities and take practical action to address them.</w:t>
      </w:r>
    </w:p>
    <w:p w14:paraId="60680C9E"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Performance management and accountability</w:t>
      </w:r>
      <w:r w:rsidRPr="002A1FFC">
        <w:rPr>
          <w:rFonts w:ascii="Arial" w:hAnsi="Arial" w:cs="Arial"/>
          <w:sz w:val="20"/>
        </w:rPr>
        <w:t>. Establish clear objectives, measures, standards and review mechanisms for individuals, teams, services and delivery activities. Monitor progress, provide timely feedback, recognise strong performance and address performance concerns directly, fairly and in accordance with University policies. Create a culture where transparency, ownership, constructive challenge and follow-through are expected.</w:t>
      </w:r>
    </w:p>
    <w:p w14:paraId="12B901D0"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Delivery discipline and service performance.</w:t>
      </w:r>
      <w:r w:rsidRPr="002A1FFC">
        <w:rPr>
          <w:rFonts w:ascii="Arial" w:hAnsi="Arial" w:cs="Arial"/>
          <w:sz w:val="20"/>
        </w:rPr>
        <w:t xml:space="preserve"> Strengthen delivery planning, prioritisation, execution and reporting across the domain. Ensure work is appropriately scoped, resourced, sequenced and governed, with realistic commitments, visible risks and active dependency management. Drive improvements in service quality, operational stability, incident responsiveness, problem management, customer experience and benefits realisation.</w:t>
      </w:r>
    </w:p>
    <w:p w14:paraId="50B6D3B8" w14:textId="09E55EA9" w:rsidR="002A1FFC" w:rsidRPr="00F25292"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Stakeholder engagement and business partnering.</w:t>
      </w:r>
      <w:r w:rsidRPr="002A1FFC">
        <w:rPr>
          <w:rFonts w:ascii="Arial" w:hAnsi="Arial" w:cs="Arial"/>
          <w:sz w:val="20"/>
        </w:rPr>
        <w:t xml:space="preserve"> Build trusted, strategic and productive relationships with senior academic and professional stakeholders across the University. Act as a clear point of accountability for Learning and Teaching digital matters, ensuring stakeholder needs are understood, demand is triaged and prioritised, and expectations are managed with clarity, professionalism and transparency.</w:t>
      </w:r>
    </w:p>
    <w:p w14:paraId="047EC42A"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Governance, transparency and evidence-based decision-making.</w:t>
      </w:r>
      <w:r w:rsidRPr="002A1FFC">
        <w:rPr>
          <w:rFonts w:ascii="Arial" w:hAnsi="Arial" w:cs="Arial"/>
          <w:sz w:val="20"/>
        </w:rPr>
        <w:t xml:space="preserve"> Ensure domain decisions, plans, risks, issues, performance insights and recommendations are supported by evidence and presented clearly through relevant governance channels. Promote disciplined decision-making that balances benefits, costs, opportunities, operational impacts, cyber and compliance risks, technical debt, user experience and delivery capacity.</w:t>
      </w:r>
    </w:p>
    <w:p w14:paraId="0E382686"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Demand, portfolio and continuous improvement management.</w:t>
      </w:r>
      <w:r w:rsidRPr="002A1FFC">
        <w:rPr>
          <w:rFonts w:ascii="Arial" w:hAnsi="Arial" w:cs="Arial"/>
          <w:sz w:val="20"/>
        </w:rPr>
        <w:t xml:space="preserve"> Lead the discovery, analysis and prioritisation of demand for Learning and Teaching digital services and change initiatives. Identify systemic pain points, process inefficiencies, duplicated effort, capability constraints and improvement opportunities, and translate these into practical actions, roadmaps and measurable service or delivery improvements.</w:t>
      </w:r>
    </w:p>
    <w:p w14:paraId="1B2A9D0D"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Financial, vendor and commercial management.</w:t>
      </w:r>
      <w:r w:rsidRPr="002A1FFC">
        <w:rPr>
          <w:rFonts w:ascii="Arial" w:hAnsi="Arial" w:cs="Arial"/>
          <w:sz w:val="20"/>
        </w:rPr>
        <w:t xml:space="preserve"> Manage domain budgets, resources, suppliers, contracts and commercial commitments responsibly and transparently. Monitor expenditure, forecast demand, explain variances, manage supplier performance and ensure procurement and vendor arrangements deliver value, accountability and appropriate service outcomes.</w:t>
      </w:r>
    </w:p>
    <w:p w14:paraId="4CD7C24E"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Innovation and digital enablement.</w:t>
      </w:r>
      <w:r w:rsidRPr="002A1FFC">
        <w:rPr>
          <w:rFonts w:ascii="Arial" w:hAnsi="Arial" w:cs="Arial"/>
          <w:sz w:val="20"/>
        </w:rPr>
        <w:t xml:space="preserve"> Create the conditions for practical innovation that improves learning, teaching and student experience outcomes. Encourage informed experimentation, sector awareness, reuse of enterprise platforms, data-informed insights and collaboration across Digital Solutions and the University, while ensuring </w:t>
      </w:r>
      <w:r w:rsidRPr="002A1FFC">
        <w:rPr>
          <w:rFonts w:ascii="Arial" w:hAnsi="Arial" w:cs="Arial"/>
          <w:sz w:val="20"/>
        </w:rPr>
        <w:lastRenderedPageBreak/>
        <w:t>innovation is purposeful, governed and connected to strategic value.</w:t>
      </w:r>
    </w:p>
    <w:p w14:paraId="0C460839" w14:textId="77777777" w:rsidR="002A1FFC" w:rsidRPr="002A1FFC" w:rsidRDefault="002A1FFC" w:rsidP="00F25292">
      <w:pPr>
        <w:pStyle w:val="ListParagraph"/>
        <w:numPr>
          <w:ilvl w:val="2"/>
          <w:numId w:val="1"/>
        </w:numPr>
        <w:tabs>
          <w:tab w:val="left" w:pos="1180"/>
          <w:tab w:val="left" w:pos="1181"/>
        </w:tabs>
        <w:ind w:right="95"/>
        <w:rPr>
          <w:rFonts w:ascii="Arial" w:hAnsi="Arial" w:cs="Arial"/>
          <w:sz w:val="20"/>
        </w:rPr>
      </w:pPr>
      <w:r w:rsidRPr="002A1FFC">
        <w:rPr>
          <w:rFonts w:ascii="Arial" w:hAnsi="Arial" w:cs="Arial"/>
          <w:b/>
          <w:bCs/>
          <w:sz w:val="20"/>
        </w:rPr>
        <w:t>Compliance, risk and University values.</w:t>
      </w:r>
      <w:r w:rsidRPr="002A1FFC">
        <w:rPr>
          <w:rFonts w:ascii="Arial" w:hAnsi="Arial" w:cs="Arial"/>
          <w:sz w:val="20"/>
        </w:rPr>
        <w:t xml:space="preserve"> Lead and promote compliance with relevant legislation, University policies and procedures, including equity, health and safety, privacy, cyber security, information management, procurement and conduct requirements. Model the principles and values embodied in the University’s Code of Conduct and communicate at all times with fairness, ethics and professionalism.</w:t>
      </w:r>
    </w:p>
    <w:p w14:paraId="54283F2A" w14:textId="5AC499D9" w:rsidR="00E449D4" w:rsidRPr="00C138CC" w:rsidRDefault="00E449D4" w:rsidP="00F25292">
      <w:pPr>
        <w:pStyle w:val="ListParagraph"/>
        <w:numPr>
          <w:ilvl w:val="2"/>
          <w:numId w:val="1"/>
        </w:numPr>
        <w:tabs>
          <w:tab w:val="left" w:pos="1180"/>
          <w:tab w:val="left" w:pos="1181"/>
        </w:tabs>
        <w:ind w:right="95"/>
        <w:rPr>
          <w:rFonts w:ascii="Arial" w:hAnsi="Arial" w:cs="Arial"/>
          <w:sz w:val="20"/>
        </w:rPr>
      </w:pPr>
      <w:r w:rsidRPr="00C138CC">
        <w:rPr>
          <w:rFonts w:ascii="Arial" w:hAnsi="Arial" w:cs="Arial"/>
          <w:sz w:val="20"/>
        </w:rPr>
        <w:t xml:space="preserve">Lead and promote compliance with relevant legislation and University policies and procedures, including equity and health &amp; safety and exhibit good practice in relation to same.  </w:t>
      </w:r>
    </w:p>
    <w:p w14:paraId="270C174F" w14:textId="77777777" w:rsidR="00E449D4" w:rsidRDefault="00E449D4" w:rsidP="00F25292">
      <w:pPr>
        <w:pStyle w:val="ListParagraph"/>
        <w:numPr>
          <w:ilvl w:val="2"/>
          <w:numId w:val="1"/>
        </w:numPr>
        <w:tabs>
          <w:tab w:val="left" w:pos="1180"/>
          <w:tab w:val="left" w:pos="1181"/>
        </w:tabs>
        <w:ind w:right="95"/>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0" w:name="3.1_Criteria"/>
      <w:bookmarkEnd w:id="0"/>
    </w:p>
    <w:p w14:paraId="2F83844A" w14:textId="77777777" w:rsidR="00F25292" w:rsidRPr="00C138CC" w:rsidRDefault="00F25292" w:rsidP="00F25292">
      <w:pPr>
        <w:pStyle w:val="ListParagraph"/>
        <w:tabs>
          <w:tab w:val="left" w:pos="1180"/>
          <w:tab w:val="left" w:pos="1181"/>
        </w:tabs>
        <w:ind w:left="1180" w:right="95"/>
        <w:rPr>
          <w:rFonts w:ascii="Arial" w:hAnsi="Arial" w:cs="Arial"/>
          <w:sz w:val="20"/>
        </w:rPr>
      </w:pPr>
    </w:p>
    <w:p w14:paraId="15E6FE81" w14:textId="77777777" w:rsidR="00E449D4" w:rsidRPr="00C138CC" w:rsidRDefault="00E449D4" w:rsidP="00F25292">
      <w:pPr>
        <w:pStyle w:val="Heading2"/>
        <w:tabs>
          <w:tab w:val="left" w:pos="862"/>
        </w:tabs>
        <w:spacing w:before="0"/>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F25292">
      <w:pPr>
        <w:pStyle w:val="ListParagraph"/>
        <w:tabs>
          <w:tab w:val="left" w:pos="1180"/>
          <w:tab w:val="left" w:pos="1181"/>
        </w:tabs>
        <w:ind w:right="1020"/>
        <w:jc w:val="both"/>
        <w:rPr>
          <w:rFonts w:ascii="Arial" w:hAnsi="Arial" w:cs="Arial"/>
          <w:sz w:val="20"/>
        </w:rPr>
      </w:pPr>
    </w:p>
    <w:p w14:paraId="65FD6E44" w14:textId="77777777" w:rsidR="002A1FFC" w:rsidRDefault="002A1FFC" w:rsidP="00F25292">
      <w:pPr>
        <w:tabs>
          <w:tab w:val="left" w:pos="1180"/>
          <w:tab w:val="left" w:pos="1181"/>
        </w:tabs>
        <w:ind w:left="820" w:right="-46"/>
        <w:jc w:val="both"/>
        <w:rPr>
          <w:rFonts w:ascii="Arial" w:hAnsi="Arial" w:cs="Arial"/>
          <w:sz w:val="20"/>
        </w:rPr>
      </w:pPr>
      <w:r w:rsidRPr="002A1FFC">
        <w:rPr>
          <w:rFonts w:ascii="Arial" w:hAnsi="Arial" w:cs="Arial"/>
          <w:sz w:val="20"/>
        </w:rPr>
        <w:t>Griffith University identifies the attributes of resilience, flexibility, creativity, digital literacy and entrepreneurship as critical to our graduates’ success in the rapidly changing future world of work. The Capability Development Framework provides a common language for the non-technical organisational skills that support staff to thrive now and into the future. For this position, the relevant capability level is Leads Leaders.</w:t>
      </w:r>
    </w:p>
    <w:p w14:paraId="5A175BEA" w14:textId="77777777" w:rsidR="00F25292" w:rsidRPr="002A1FFC" w:rsidRDefault="00F25292" w:rsidP="00F25292">
      <w:pPr>
        <w:tabs>
          <w:tab w:val="left" w:pos="1180"/>
          <w:tab w:val="left" w:pos="1181"/>
        </w:tabs>
        <w:ind w:left="820" w:right="-46"/>
        <w:jc w:val="both"/>
        <w:rPr>
          <w:rFonts w:ascii="Arial" w:hAnsi="Arial" w:cs="Arial"/>
          <w:sz w:val="20"/>
        </w:rPr>
      </w:pPr>
    </w:p>
    <w:p w14:paraId="467C23D5" w14:textId="77777777" w:rsidR="002A1FFC" w:rsidRPr="002A1FFC" w:rsidRDefault="002A1FFC" w:rsidP="00F25292">
      <w:pPr>
        <w:pStyle w:val="ListParagraph"/>
        <w:numPr>
          <w:ilvl w:val="2"/>
          <w:numId w:val="1"/>
        </w:numPr>
        <w:tabs>
          <w:tab w:val="left" w:pos="1180"/>
          <w:tab w:val="left" w:pos="1181"/>
        </w:tabs>
        <w:ind w:right="-46"/>
        <w:jc w:val="both"/>
        <w:rPr>
          <w:rFonts w:ascii="Arial" w:hAnsi="Arial" w:cs="Arial"/>
          <w:sz w:val="20"/>
        </w:rPr>
      </w:pPr>
      <w:r w:rsidRPr="002A1FFC">
        <w:rPr>
          <w:rFonts w:ascii="Arial" w:hAnsi="Arial" w:cs="Arial"/>
          <w:b/>
          <w:bCs/>
          <w:sz w:val="20"/>
        </w:rPr>
        <w:t>Strategic and systems leadership.</w:t>
      </w:r>
      <w:r w:rsidRPr="002A1FFC">
        <w:rPr>
          <w:rFonts w:ascii="Arial" w:hAnsi="Arial" w:cs="Arial"/>
          <w:sz w:val="20"/>
        </w:rPr>
        <w:t xml:space="preserve"> Creates clarity from complexity, aligns domain direction with institutional priorities and leads through ambiguity while maintaining focus on value, risk, sustainability and user outcomes.</w:t>
      </w:r>
    </w:p>
    <w:p w14:paraId="23778942" w14:textId="77777777" w:rsidR="002A1FFC" w:rsidRPr="002A1FFC" w:rsidRDefault="002A1FFC" w:rsidP="00F25292">
      <w:pPr>
        <w:pStyle w:val="ListParagraph"/>
        <w:numPr>
          <w:ilvl w:val="2"/>
          <w:numId w:val="1"/>
        </w:numPr>
        <w:tabs>
          <w:tab w:val="left" w:pos="1180"/>
          <w:tab w:val="left" w:pos="1181"/>
        </w:tabs>
        <w:ind w:right="-46"/>
        <w:jc w:val="both"/>
        <w:rPr>
          <w:rFonts w:ascii="Arial" w:hAnsi="Arial" w:cs="Arial"/>
          <w:sz w:val="20"/>
        </w:rPr>
      </w:pPr>
      <w:r w:rsidRPr="002A1FFC">
        <w:rPr>
          <w:rFonts w:ascii="Arial" w:hAnsi="Arial" w:cs="Arial"/>
          <w:b/>
          <w:bCs/>
          <w:sz w:val="20"/>
        </w:rPr>
        <w:t>People leadership and performance.</w:t>
      </w:r>
      <w:r w:rsidRPr="002A1FFC">
        <w:rPr>
          <w:rFonts w:ascii="Arial" w:hAnsi="Arial" w:cs="Arial"/>
          <w:sz w:val="20"/>
        </w:rPr>
        <w:t xml:space="preserve"> Builds capable, accountable and resilient teams through clear expectations, coaching, delegation, feedback, performance management and deliberate capability uplift.</w:t>
      </w:r>
    </w:p>
    <w:p w14:paraId="3BD96B83" w14:textId="77777777" w:rsidR="002A1FFC" w:rsidRPr="002A1FFC" w:rsidRDefault="002A1FFC" w:rsidP="00F25292">
      <w:pPr>
        <w:pStyle w:val="ListParagraph"/>
        <w:numPr>
          <w:ilvl w:val="2"/>
          <w:numId w:val="1"/>
        </w:numPr>
        <w:tabs>
          <w:tab w:val="left" w:pos="1180"/>
          <w:tab w:val="left" w:pos="1181"/>
        </w:tabs>
        <w:ind w:right="-46"/>
        <w:jc w:val="both"/>
        <w:rPr>
          <w:rFonts w:ascii="Arial" w:hAnsi="Arial" w:cs="Arial"/>
          <w:sz w:val="20"/>
        </w:rPr>
      </w:pPr>
      <w:r w:rsidRPr="002A1FFC">
        <w:rPr>
          <w:rFonts w:ascii="Arial" w:hAnsi="Arial" w:cs="Arial"/>
          <w:sz w:val="20"/>
        </w:rPr>
        <w:t>Stakeholder influence and partnership. Develops trusted senior relationships, listens actively, communicates with transparency, influences priorities and supports joint ownership of issues, decisions and outcomes.</w:t>
      </w:r>
    </w:p>
    <w:p w14:paraId="1EFE65D2" w14:textId="77777777" w:rsidR="002A1FFC" w:rsidRPr="002A1FFC" w:rsidRDefault="002A1FFC" w:rsidP="00F25292">
      <w:pPr>
        <w:pStyle w:val="ListParagraph"/>
        <w:numPr>
          <w:ilvl w:val="2"/>
          <w:numId w:val="1"/>
        </w:numPr>
        <w:tabs>
          <w:tab w:val="left" w:pos="1180"/>
          <w:tab w:val="left" w:pos="1181"/>
        </w:tabs>
        <w:ind w:right="-46"/>
        <w:jc w:val="both"/>
        <w:rPr>
          <w:rFonts w:ascii="Arial" w:hAnsi="Arial" w:cs="Arial"/>
          <w:sz w:val="20"/>
        </w:rPr>
      </w:pPr>
      <w:r w:rsidRPr="002A1FFC">
        <w:rPr>
          <w:rFonts w:ascii="Arial" w:hAnsi="Arial" w:cs="Arial"/>
          <w:b/>
          <w:bCs/>
          <w:sz w:val="20"/>
        </w:rPr>
        <w:t>Delivery and operational discipline.</w:t>
      </w:r>
      <w:r w:rsidRPr="002A1FFC">
        <w:rPr>
          <w:rFonts w:ascii="Arial" w:hAnsi="Arial" w:cs="Arial"/>
          <w:sz w:val="20"/>
        </w:rPr>
        <w:t xml:space="preserve"> Turns strategy into practical plans, strengthens execution, monitors performance, escalates early, manages dependencies and ensures commitments are realistic, visible and followed through.</w:t>
      </w:r>
    </w:p>
    <w:p w14:paraId="2094EBFA" w14:textId="77777777" w:rsidR="002A1FFC" w:rsidRPr="002A1FFC" w:rsidRDefault="002A1FFC" w:rsidP="00F25292">
      <w:pPr>
        <w:pStyle w:val="ListParagraph"/>
        <w:numPr>
          <w:ilvl w:val="2"/>
          <w:numId w:val="1"/>
        </w:numPr>
        <w:tabs>
          <w:tab w:val="left" w:pos="1180"/>
          <w:tab w:val="left" w:pos="1181"/>
        </w:tabs>
        <w:ind w:right="-46"/>
        <w:jc w:val="both"/>
        <w:rPr>
          <w:rFonts w:ascii="Arial" w:hAnsi="Arial" w:cs="Arial"/>
          <w:sz w:val="20"/>
        </w:rPr>
      </w:pPr>
      <w:r w:rsidRPr="002A1FFC">
        <w:rPr>
          <w:rFonts w:ascii="Arial" w:hAnsi="Arial" w:cs="Arial"/>
          <w:b/>
          <w:bCs/>
          <w:sz w:val="20"/>
        </w:rPr>
        <w:t>Continuous improvement and maturity uplift.</w:t>
      </w:r>
      <w:r w:rsidRPr="002A1FFC">
        <w:rPr>
          <w:rFonts w:ascii="Arial" w:hAnsi="Arial" w:cs="Arial"/>
          <w:sz w:val="20"/>
        </w:rPr>
        <w:t xml:space="preserve"> Uses evidence, feedback and performance insights to identify improvement opportunities, address root causes, reduce complexity and lift service, delivery and governance maturity over time.</w:t>
      </w:r>
    </w:p>
    <w:p w14:paraId="0C2DA2A0" w14:textId="77777777" w:rsidR="002A1FFC" w:rsidRDefault="002A1FFC" w:rsidP="00F25292">
      <w:pPr>
        <w:pStyle w:val="ListParagraph"/>
        <w:numPr>
          <w:ilvl w:val="2"/>
          <w:numId w:val="1"/>
        </w:numPr>
        <w:tabs>
          <w:tab w:val="left" w:pos="1180"/>
          <w:tab w:val="left" w:pos="1181"/>
        </w:tabs>
        <w:ind w:right="-46"/>
        <w:jc w:val="both"/>
        <w:rPr>
          <w:rFonts w:ascii="Arial" w:hAnsi="Arial" w:cs="Arial"/>
          <w:sz w:val="20"/>
        </w:rPr>
      </w:pPr>
      <w:r w:rsidRPr="002A1FFC">
        <w:rPr>
          <w:rFonts w:ascii="Arial" w:hAnsi="Arial" w:cs="Arial"/>
          <w:b/>
          <w:bCs/>
          <w:sz w:val="20"/>
        </w:rPr>
        <w:t>Commercial, risk and governance maturity.</w:t>
      </w:r>
      <w:r w:rsidRPr="002A1FFC">
        <w:rPr>
          <w:rFonts w:ascii="Arial" w:hAnsi="Arial" w:cs="Arial"/>
          <w:sz w:val="20"/>
        </w:rPr>
        <w:t xml:space="preserve"> Applies sound judgement to financial, vendor, technology, cyber, compliance and operational risk matters, ensuring decision-making is transparent, balanced and well governed.</w:t>
      </w:r>
    </w:p>
    <w:p w14:paraId="7BB67EE2" w14:textId="77777777" w:rsidR="00F25292" w:rsidRPr="002A1FFC" w:rsidRDefault="00F25292" w:rsidP="00F25292">
      <w:pPr>
        <w:pStyle w:val="ListParagraph"/>
        <w:tabs>
          <w:tab w:val="left" w:pos="1180"/>
          <w:tab w:val="left" w:pos="1181"/>
          <w:tab w:val="left" w:pos="7938"/>
        </w:tabs>
        <w:ind w:left="1180" w:right="1024"/>
        <w:jc w:val="both"/>
        <w:rPr>
          <w:rFonts w:ascii="Arial" w:hAnsi="Arial" w:cs="Arial"/>
          <w:sz w:val="20"/>
        </w:rPr>
      </w:pPr>
    </w:p>
    <w:p w14:paraId="7DD99D48" w14:textId="434EF925" w:rsidR="00DC185F" w:rsidRDefault="00DC185F" w:rsidP="00F25292">
      <w:pPr>
        <w:pStyle w:val="Heading2"/>
        <w:tabs>
          <w:tab w:val="left" w:pos="7938"/>
        </w:tabs>
        <w:spacing w:before="0"/>
        <w:ind w:left="851" w:right="95" w:firstLine="0"/>
        <w:rPr>
          <w:rFonts w:ascii="Arial" w:hAnsi="Arial" w:cs="Arial"/>
          <w:sz w:val="20"/>
          <w:szCs w:val="20"/>
        </w:rPr>
      </w:pPr>
      <w:r w:rsidRPr="1DEB1DB7">
        <w:rPr>
          <w:rFonts w:ascii="Arial" w:hAnsi="Arial" w:cs="Arial"/>
          <w:color w:val="000000" w:themeColor="text1"/>
          <w:sz w:val="20"/>
          <w:szCs w:val="20"/>
          <w:lang w:bidi="ar-SA"/>
        </w:rPr>
        <w:t xml:space="preserve">To read about some of the non-technical organisation skills for this position, please see the </w:t>
      </w:r>
      <w:r w:rsidRPr="002A1FFC">
        <w:rPr>
          <w:rFonts w:ascii="Arial" w:hAnsi="Arial" w:cs="Arial"/>
          <w:color w:val="000000" w:themeColor="text1"/>
          <w:sz w:val="20"/>
          <w:szCs w:val="20"/>
          <w:lang w:bidi="ar-SA"/>
        </w:rPr>
        <w:t xml:space="preserve">Leads </w:t>
      </w:r>
      <w:r w:rsidR="00F124B5" w:rsidRPr="002A1FFC">
        <w:rPr>
          <w:rFonts w:ascii="Arial" w:hAnsi="Arial" w:cs="Arial"/>
          <w:color w:val="000000" w:themeColor="text1"/>
          <w:sz w:val="20"/>
          <w:szCs w:val="20"/>
          <w:lang w:bidi="ar-SA"/>
        </w:rPr>
        <w:t>Others</w:t>
      </w:r>
      <w:r w:rsidRPr="002A1FFC">
        <w:rPr>
          <w:rFonts w:ascii="Arial" w:hAnsi="Arial" w:cs="Arial"/>
          <w:color w:val="000000" w:themeColor="text1"/>
          <w:sz w:val="20"/>
          <w:szCs w:val="20"/>
          <w:lang w:bidi="ar-SA"/>
        </w:rPr>
        <w:t xml:space="preserve"> </w:t>
      </w:r>
      <w:r w:rsidRPr="1DEB1DB7">
        <w:rPr>
          <w:rFonts w:ascii="Arial" w:hAnsi="Arial" w:cs="Arial"/>
          <w:color w:val="000000" w:themeColor="text1"/>
          <w:sz w:val="20"/>
          <w:szCs w:val="20"/>
          <w:lang w:bidi="ar-SA"/>
        </w:rPr>
        <w:t xml:space="preserve">section of our </w:t>
      </w:r>
      <w:hyperlink r:id="rId10" w:anchor="framework">
        <w:r w:rsidRPr="1DEB1DB7">
          <w:rPr>
            <w:rStyle w:val="Hyperlink"/>
            <w:rFonts w:ascii="Arial" w:hAnsi="Arial" w:cs="Arial"/>
            <w:color w:val="0033CC"/>
            <w:sz w:val="20"/>
            <w:szCs w:val="20"/>
            <w:lang w:bidi="ar-SA"/>
          </w:rPr>
          <w:t>Capability Development Framework</w:t>
        </w:r>
      </w:hyperlink>
      <w:r w:rsidRPr="1DEB1DB7">
        <w:rPr>
          <w:rFonts w:ascii="Arial" w:hAnsi="Arial" w:cs="Arial"/>
          <w:color w:val="000000" w:themeColor="text1"/>
          <w:sz w:val="20"/>
          <w:szCs w:val="20"/>
          <w:lang w:bidi="ar-SA"/>
        </w:rPr>
        <w:t>.</w:t>
      </w:r>
    </w:p>
    <w:p w14:paraId="052EAF21" w14:textId="0DDC766A" w:rsidR="00864393" w:rsidRDefault="00864393" w:rsidP="00F25292">
      <w:pPr>
        <w:jc w:val="both"/>
      </w:pPr>
    </w:p>
    <w:p w14:paraId="5DB776D4" w14:textId="6256974D" w:rsidR="00EB78CB" w:rsidRDefault="00EB78CB" w:rsidP="00F25292">
      <w:pPr>
        <w:jc w:val="both"/>
      </w:pPr>
    </w:p>
    <w:p w14:paraId="2EF76194" w14:textId="6367473A" w:rsidR="00EB78CB" w:rsidRDefault="00EB78CB" w:rsidP="00F25292">
      <w:pPr>
        <w:jc w:val="both"/>
      </w:pPr>
    </w:p>
    <w:p w14:paraId="0C245B75" w14:textId="69D553BE" w:rsidR="00EB78CB" w:rsidRDefault="00EB78CB" w:rsidP="00F25292">
      <w:pPr>
        <w:jc w:val="both"/>
      </w:pPr>
    </w:p>
    <w:p w14:paraId="37FAA1BA" w14:textId="251B2028" w:rsidR="00EB78CB" w:rsidRDefault="00EB78CB" w:rsidP="00F25292">
      <w:pPr>
        <w:jc w:val="both"/>
      </w:pPr>
    </w:p>
    <w:p w14:paraId="1CAD723B" w14:textId="4503F0CA" w:rsidR="00EB78CB" w:rsidRDefault="00EB78CB" w:rsidP="00F25292">
      <w:pPr>
        <w:jc w:val="both"/>
      </w:pPr>
    </w:p>
    <w:p w14:paraId="4339476E" w14:textId="07761CD5" w:rsidR="00EB78CB" w:rsidRDefault="00EB78CB" w:rsidP="00F25292">
      <w:pPr>
        <w:jc w:val="both"/>
      </w:pPr>
    </w:p>
    <w:p w14:paraId="593CD0FF" w14:textId="77777777" w:rsidR="00EB78CB" w:rsidRDefault="00EB78CB" w:rsidP="007C27F4">
      <w:pPr>
        <w:jc w:val="both"/>
      </w:pPr>
    </w:p>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83E2" w14:textId="77777777" w:rsidR="003344A2" w:rsidRDefault="003344A2" w:rsidP="00E449D4">
      <w:r>
        <w:separator/>
      </w:r>
    </w:p>
  </w:endnote>
  <w:endnote w:type="continuationSeparator" w:id="0">
    <w:p w14:paraId="529EDEA0" w14:textId="77777777" w:rsidR="003344A2" w:rsidRDefault="003344A2"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BD06406B-7EF9-49C0-9357-A61D7EC637E7}"/>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52174"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73BE59E5-2B3D-4B33-B2D4-EB20D4A71208}"/>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34488"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1946C" w14:textId="77777777" w:rsidR="003344A2" w:rsidRDefault="003344A2" w:rsidP="00E449D4">
      <w:r>
        <w:separator/>
      </w:r>
    </w:p>
  </w:footnote>
  <w:footnote w:type="continuationSeparator" w:id="0">
    <w:p w14:paraId="5C786D16" w14:textId="77777777" w:rsidR="003344A2" w:rsidRDefault="003344A2"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546E56FA-6A09-471B-95B6-4D4C6EC812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B55C6A63-78D7-4F0D-A48A-1F30D9CDCDC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96918"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9E1A7762-4624-4095-90DE-A411B065C4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8E803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7EC1DCA"/>
    <w:multiLevelType w:val="multilevel"/>
    <w:tmpl w:val="EB966A0C"/>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2"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8035270">
    <w:abstractNumId w:val="2"/>
  </w:num>
  <w:num w:numId="2" w16cid:durableId="66073040">
    <w:abstractNumId w:val="3"/>
  </w:num>
  <w:num w:numId="3" w16cid:durableId="1692797998">
    <w:abstractNumId w:val="1"/>
  </w:num>
  <w:num w:numId="4" w16cid:durableId="411123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1263A4"/>
    <w:rsid w:val="00173782"/>
    <w:rsid w:val="001E5591"/>
    <w:rsid w:val="001F2167"/>
    <w:rsid w:val="001F5621"/>
    <w:rsid w:val="0027452A"/>
    <w:rsid w:val="00293E62"/>
    <w:rsid w:val="002A1FFC"/>
    <w:rsid w:val="002F7294"/>
    <w:rsid w:val="00311DD4"/>
    <w:rsid w:val="003344A2"/>
    <w:rsid w:val="00384A37"/>
    <w:rsid w:val="003C357B"/>
    <w:rsid w:val="00421B48"/>
    <w:rsid w:val="0043615A"/>
    <w:rsid w:val="004B7C22"/>
    <w:rsid w:val="005410D0"/>
    <w:rsid w:val="00545BD2"/>
    <w:rsid w:val="00586615"/>
    <w:rsid w:val="00635B9C"/>
    <w:rsid w:val="0064513C"/>
    <w:rsid w:val="00676A69"/>
    <w:rsid w:val="006C017E"/>
    <w:rsid w:val="006C0962"/>
    <w:rsid w:val="006D3463"/>
    <w:rsid w:val="00711A35"/>
    <w:rsid w:val="00726DEF"/>
    <w:rsid w:val="007C27F4"/>
    <w:rsid w:val="00864393"/>
    <w:rsid w:val="008E2E67"/>
    <w:rsid w:val="00997900"/>
    <w:rsid w:val="009C7EFB"/>
    <w:rsid w:val="009F5BD8"/>
    <w:rsid w:val="00A96944"/>
    <w:rsid w:val="00AF1B4B"/>
    <w:rsid w:val="00B3153F"/>
    <w:rsid w:val="00B401E2"/>
    <w:rsid w:val="00CF5116"/>
    <w:rsid w:val="00D15EC6"/>
    <w:rsid w:val="00D4363E"/>
    <w:rsid w:val="00D65FBA"/>
    <w:rsid w:val="00DC185F"/>
    <w:rsid w:val="00DE0254"/>
    <w:rsid w:val="00E1046A"/>
    <w:rsid w:val="00E3020D"/>
    <w:rsid w:val="00E4145A"/>
    <w:rsid w:val="00E449D4"/>
    <w:rsid w:val="00E83F28"/>
    <w:rsid w:val="00EB78CB"/>
    <w:rsid w:val="00F124B5"/>
    <w:rsid w:val="00F25292"/>
    <w:rsid w:val="00F34A30"/>
    <w:rsid w:val="00F70A73"/>
    <w:rsid w:val="00FD1EF3"/>
    <w:rsid w:val="0B721402"/>
    <w:rsid w:val="0BC02C63"/>
    <w:rsid w:val="164B68BC"/>
    <w:rsid w:val="1DEB1DB7"/>
    <w:rsid w:val="2323673F"/>
    <w:rsid w:val="336861F5"/>
    <w:rsid w:val="3E1B94AB"/>
    <w:rsid w:val="3F88FD17"/>
    <w:rsid w:val="49E705D4"/>
    <w:rsid w:val="5653E7A8"/>
    <w:rsid w:val="6C5C8F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CFD17FF6-3F76-4D83-804A-083F7AE9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6D3463"/>
    <w:rPr>
      <w:sz w:val="16"/>
      <w:szCs w:val="16"/>
    </w:rPr>
  </w:style>
  <w:style w:type="paragraph" w:styleId="CommentText">
    <w:name w:val="annotation text"/>
    <w:basedOn w:val="Normal"/>
    <w:link w:val="CommentTextChar"/>
    <w:uiPriority w:val="99"/>
    <w:unhideWhenUsed/>
    <w:rsid w:val="006D3463"/>
    <w:rPr>
      <w:sz w:val="20"/>
      <w:szCs w:val="20"/>
    </w:rPr>
  </w:style>
  <w:style w:type="character" w:customStyle="1" w:styleId="CommentTextChar">
    <w:name w:val="Comment Text Char"/>
    <w:basedOn w:val="DefaultParagraphFont"/>
    <w:link w:val="CommentText"/>
    <w:uiPriority w:val="99"/>
    <w:rsid w:val="006D3463"/>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6D3463"/>
    <w:rPr>
      <w:b/>
      <w:bCs/>
    </w:rPr>
  </w:style>
  <w:style w:type="character" w:customStyle="1" w:styleId="CommentSubjectChar">
    <w:name w:val="Comment Subject Char"/>
    <w:basedOn w:val="CommentTextChar"/>
    <w:link w:val="CommentSubject"/>
    <w:uiPriority w:val="99"/>
    <w:semiHidden/>
    <w:rsid w:val="006D3463"/>
    <w:rPr>
      <w:rFonts w:ascii="Times New Roman" w:eastAsia="Times New Roman" w:hAnsi="Times New Roman" w:cs="Times New Roman"/>
      <w:b/>
      <w:bCs/>
      <w:sz w:val="20"/>
      <w:szCs w:val="20"/>
      <w:lang w:eastAsia="en-AU" w:bidi="en-AU"/>
    </w:rPr>
  </w:style>
  <w:style w:type="paragraph" w:styleId="BalloonText">
    <w:name w:val="Balloon Text"/>
    <w:basedOn w:val="Normal"/>
    <w:link w:val="BalloonTextChar"/>
    <w:uiPriority w:val="99"/>
    <w:semiHidden/>
    <w:unhideWhenUsed/>
    <w:rsid w:val="006D3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463"/>
    <w:rPr>
      <w:rFonts w:ascii="Segoe UI" w:eastAsia="Times New Roman" w:hAnsi="Segoe UI" w:cs="Segoe UI"/>
      <w:sz w:val="18"/>
      <w:szCs w:val="18"/>
      <w:lang w:eastAsia="en-AU" w:bidi="en-AU"/>
    </w:rPr>
  </w:style>
  <w:style w:type="paragraph" w:styleId="ListBullet">
    <w:name w:val="List Bullet"/>
    <w:basedOn w:val="Normal"/>
    <w:uiPriority w:val="99"/>
    <w:unhideWhenUsed/>
    <w:rsid w:val="002A1FFC"/>
    <w:pPr>
      <w:widowControl/>
      <w:numPr>
        <w:numId w:val="4"/>
      </w:numPr>
      <w:tabs>
        <w:tab w:val="clear" w:pos="360"/>
      </w:tabs>
      <w:autoSpaceDE/>
      <w:autoSpaceDN/>
      <w:spacing w:after="200" w:line="276" w:lineRule="auto"/>
      <w:ind w:left="0" w:firstLine="0"/>
      <w:contextualSpacing/>
    </w:pPr>
    <w:rPr>
      <w:rFonts w:ascii="Arial" w:eastAsiaTheme="minorEastAsia" w:hAnsi="Arial" w:cstheme="minorBidi"/>
      <w:sz w:val="19"/>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_ip_UnifiedCompliancePolicyUIAction xmlns="http://schemas.microsoft.com/sharepoint/v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_ip_UnifiedCompliancePolicyProperties xmlns="http://schemas.microsoft.com/sharepoint/v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2" ma:contentTypeDescription="Create a new document." ma:contentTypeScope="" ma:versionID="2aa71e2560d2cee05b062d6309070bce">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c8981a9e6e75b7bbb2b52d394943731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inalised" ma:default="Yes" ma:description="Documents to be reviewed and either updated or archived" ma:format="Dropdown" ma:internalName="FolderDetails">
      <xsd:simpleType>
        <xsd:restriction base="dms:Choice">
          <xsd:enumeration value="Yes"/>
          <xsd:enumeration value="No"/>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EE085-F227-4AB9-986D-8218BA8EC527}">
  <ds:schemaRefs>
    <ds:schemaRef ds:uri="http://schemas.microsoft.com/sharepoint/v3/contenttype/forms"/>
  </ds:schemaRefs>
</ds:datastoreItem>
</file>

<file path=customXml/itemProps2.xml><?xml version="1.0" encoding="utf-8"?>
<ds:datastoreItem xmlns:ds="http://schemas.openxmlformats.org/officeDocument/2006/customXml" ds:itemID="{2C7397C7-A73C-421E-995D-886980A26580}">
  <ds:schemaRefs>
    <ds:schemaRef ds:uri="http://schemas.microsoft.com/office/2006/metadata/properties"/>
    <ds:schemaRef ds:uri="http://schemas.microsoft.com/office/infopath/2007/PartnerControls"/>
    <ds:schemaRef ds:uri="ef98ed33-5c40-4c92-a880-1f7729e6c933"/>
    <ds:schemaRef ds:uri="http://schemas.microsoft.com/sharepoint/v3"/>
    <ds:schemaRef ds:uri="0fa0b461-26d9-41f0-8c4a-898a6e0ed324"/>
  </ds:schemaRefs>
</ds:datastoreItem>
</file>

<file path=customXml/itemProps3.xml><?xml version="1.0" encoding="utf-8"?>
<ds:datastoreItem xmlns:ds="http://schemas.openxmlformats.org/officeDocument/2006/customXml" ds:itemID="{34BBFFAE-205E-4C21-9CC8-E1C01A3FD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13d304-6b29-4665-8b54-f78174ce4772}"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1502</Words>
  <Characters>8567</Characters>
  <Application>Microsoft Office Word</Application>
  <DocSecurity>4</DocSecurity>
  <Lines>71</Lines>
  <Paragraphs>20</Paragraphs>
  <ScaleCrop>false</ScaleCrop>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2026-08-09T21:44:00Z</dcterms:created>
  <dcterms:modified xsi:type="dcterms:W3CDTF">2026-08-09T21:44:00Z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Order">
    <vt:r8>1068300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adaa4be3-f650-4692-881a-64ae220cbceb_Enabled">
    <vt:lpwstr>true</vt:lpwstr>
  </property>
  <property fmtid="{D5CDD505-2E9C-101B-9397-08002B2CF9AE}" pid="11" name="MSIP_Label_adaa4be3-f650-4692-881a-64ae220cbceb_SetDate">
    <vt:lpwstr>2023-02-01T01:58:34Z</vt:lpwstr>
  </property>
  <property fmtid="{D5CDD505-2E9C-101B-9397-08002B2CF9AE}" pid="12" name="MSIP_Label_adaa4be3-f650-4692-881a-64ae220cbceb_Method">
    <vt:lpwstr>Standard</vt:lpwstr>
  </property>
  <property fmtid="{D5CDD505-2E9C-101B-9397-08002B2CF9AE}" pid="13" name="MSIP_Label_adaa4be3-f650-4692-881a-64ae220cbceb_Name">
    <vt:lpwstr>OFFICIAL  Internal (External sharing)</vt:lpwstr>
  </property>
  <property fmtid="{D5CDD505-2E9C-101B-9397-08002B2CF9AE}" pid="14" name="MSIP_Label_adaa4be3-f650-4692-881a-64ae220cbceb_SiteId">
    <vt:lpwstr>5a7cc8ab-a4dc-4f9b-bf60-66714049ad62</vt:lpwstr>
  </property>
  <property fmtid="{D5CDD505-2E9C-101B-9397-08002B2CF9AE}" pid="15" name="MSIP_Label_adaa4be3-f650-4692-881a-64ae220cbceb_ActionId">
    <vt:lpwstr>b4a6c282-5e09-4894-a5e2-c5f5af0bff59</vt:lpwstr>
  </property>
  <property fmtid="{D5CDD505-2E9C-101B-9397-08002B2CF9AE}" pid="16" name="MSIP_Label_adaa4be3-f650-4692-881a-64ae220cbceb_ContentBits">
    <vt:lpwstr>0</vt:lpwstr>
  </property>
  <property fmtid="{D5CDD505-2E9C-101B-9397-08002B2CF9AE}" pid="17" name="MediaServiceImageTags">
    <vt:lpwstr/>
  </property>
</Properties>
</file>