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C226" w14:textId="3A2563CF" w:rsidR="00E449D4" w:rsidRDefault="00E449D4" w:rsidP="00E449D4">
      <w:pPr>
        <w:rPr>
          <w:rFonts w:ascii="Arial" w:hAnsi="Arial" w:cs="Arial"/>
          <w:b/>
          <w:sz w:val="20"/>
          <w:szCs w:val="20"/>
        </w:rPr>
      </w:pPr>
    </w:p>
    <w:p w14:paraId="03191CAA" w14:textId="77777777" w:rsidR="00E235B1" w:rsidRDefault="00E235B1" w:rsidP="00E449D4">
      <w:pPr>
        <w:rPr>
          <w:rFonts w:ascii="Arial" w:hAnsi="Arial" w:cs="Arial"/>
          <w:b/>
          <w:sz w:val="20"/>
          <w:szCs w:val="20"/>
        </w:rPr>
      </w:pPr>
    </w:p>
    <w:p w14:paraId="7F6C9FD0" w14:textId="77777777" w:rsidR="00E235B1" w:rsidRDefault="00E235B1" w:rsidP="00E449D4">
      <w:pPr>
        <w:rPr>
          <w:rFonts w:ascii="Arial" w:hAnsi="Arial" w:cs="Arial"/>
          <w:b/>
          <w:sz w:val="20"/>
          <w:szCs w:val="20"/>
        </w:rPr>
      </w:pPr>
    </w:p>
    <w:p w14:paraId="65AB7950" w14:textId="77777777" w:rsidR="00E235B1" w:rsidRDefault="00E235B1" w:rsidP="00E449D4">
      <w:pPr>
        <w:rPr>
          <w:rFonts w:ascii="Arial" w:hAnsi="Arial" w:cs="Arial"/>
          <w:b/>
          <w:sz w:val="20"/>
          <w:szCs w:val="20"/>
        </w:rPr>
      </w:pPr>
    </w:p>
    <w:p w14:paraId="585FF286" w14:textId="77777777" w:rsidR="00E235B1" w:rsidRPr="00E235B1" w:rsidRDefault="00E235B1" w:rsidP="00E449D4">
      <w:pPr>
        <w:rPr>
          <w:rFonts w:ascii="Arial" w:hAnsi="Arial" w:cs="Arial"/>
          <w:b/>
          <w:sz w:val="20"/>
          <w:szCs w:val="20"/>
        </w:rPr>
      </w:pPr>
    </w:p>
    <w:p w14:paraId="0DEA90D5" w14:textId="7AC2F1EC" w:rsidR="00CA2983" w:rsidRPr="00E235B1" w:rsidRDefault="00CA2983" w:rsidP="00E449D4">
      <w:pPr>
        <w:rPr>
          <w:rFonts w:ascii="Arial" w:hAnsi="Arial" w:cs="Arial"/>
          <w:b/>
          <w:sz w:val="20"/>
          <w:szCs w:val="20"/>
        </w:rPr>
      </w:pPr>
    </w:p>
    <w:p w14:paraId="3AC2F11E" w14:textId="47AD2742" w:rsidR="00CA2983" w:rsidRPr="00E235B1" w:rsidRDefault="00CA2983" w:rsidP="00E449D4">
      <w:pPr>
        <w:rPr>
          <w:rFonts w:ascii="Arial" w:hAnsi="Arial" w:cs="Arial"/>
          <w:b/>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6198"/>
      </w:tblGrid>
      <w:tr w:rsidR="00E235B1" w:rsidRPr="00E235B1" w14:paraId="509085AD" w14:textId="77777777" w:rsidTr="00327546">
        <w:trPr>
          <w:trHeight w:val="460"/>
        </w:trPr>
        <w:tc>
          <w:tcPr>
            <w:tcW w:w="2877" w:type="dxa"/>
            <w:shd w:val="clear" w:color="auto" w:fill="D9D9D9"/>
          </w:tcPr>
          <w:p w14:paraId="4B30D96E" w14:textId="77777777" w:rsidR="00E235B1" w:rsidRPr="00E235B1" w:rsidRDefault="00E235B1" w:rsidP="00327546">
            <w:pPr>
              <w:pStyle w:val="TableParagraph"/>
              <w:ind w:left="110"/>
              <w:rPr>
                <w:rFonts w:ascii="Arial" w:hAnsi="Arial" w:cs="Arial"/>
                <w:b/>
                <w:sz w:val="20"/>
                <w:szCs w:val="20"/>
              </w:rPr>
            </w:pPr>
            <w:r w:rsidRPr="00E235B1">
              <w:rPr>
                <w:rFonts w:ascii="Arial" w:hAnsi="Arial" w:cs="Arial"/>
                <w:b/>
                <w:sz w:val="20"/>
                <w:szCs w:val="20"/>
              </w:rPr>
              <w:t>Position</w:t>
            </w:r>
            <w:r w:rsidRPr="00E235B1">
              <w:rPr>
                <w:rFonts w:ascii="Arial" w:hAnsi="Arial" w:cs="Arial"/>
                <w:b/>
                <w:spacing w:val="-5"/>
                <w:sz w:val="20"/>
                <w:szCs w:val="20"/>
              </w:rPr>
              <w:t xml:space="preserve"> </w:t>
            </w:r>
            <w:r w:rsidRPr="00E235B1">
              <w:rPr>
                <w:rFonts w:ascii="Arial" w:hAnsi="Arial" w:cs="Arial"/>
                <w:b/>
                <w:spacing w:val="-2"/>
                <w:sz w:val="20"/>
                <w:szCs w:val="20"/>
              </w:rPr>
              <w:t>Title</w:t>
            </w:r>
          </w:p>
        </w:tc>
        <w:tc>
          <w:tcPr>
            <w:tcW w:w="6198" w:type="dxa"/>
          </w:tcPr>
          <w:p w14:paraId="2C122E8C" w14:textId="77777777" w:rsidR="00E235B1" w:rsidRPr="00E235B1" w:rsidRDefault="00E235B1" w:rsidP="00327546">
            <w:pPr>
              <w:pStyle w:val="TableParagraph"/>
              <w:rPr>
                <w:rFonts w:ascii="Arial" w:hAnsi="Arial" w:cs="Arial"/>
                <w:sz w:val="20"/>
                <w:szCs w:val="20"/>
              </w:rPr>
            </w:pPr>
            <w:r w:rsidRPr="00E235B1">
              <w:rPr>
                <w:rFonts w:ascii="Arial" w:hAnsi="Arial" w:cs="Arial"/>
                <w:sz w:val="20"/>
                <w:szCs w:val="20"/>
              </w:rPr>
              <w:t>Business</w:t>
            </w:r>
            <w:r w:rsidRPr="00E235B1">
              <w:rPr>
                <w:rFonts w:ascii="Arial" w:hAnsi="Arial" w:cs="Arial"/>
                <w:spacing w:val="-7"/>
                <w:sz w:val="20"/>
                <w:szCs w:val="20"/>
              </w:rPr>
              <w:t xml:space="preserve"> </w:t>
            </w:r>
            <w:r w:rsidRPr="00E235B1">
              <w:rPr>
                <w:rFonts w:ascii="Arial" w:hAnsi="Arial" w:cs="Arial"/>
                <w:spacing w:val="-2"/>
                <w:sz w:val="20"/>
                <w:szCs w:val="20"/>
              </w:rPr>
              <w:t>Partner</w:t>
            </w:r>
          </w:p>
        </w:tc>
      </w:tr>
      <w:tr w:rsidR="00E235B1" w:rsidRPr="00E235B1" w14:paraId="2DEBCB83" w14:textId="77777777" w:rsidTr="00327546">
        <w:trPr>
          <w:trHeight w:val="460"/>
        </w:trPr>
        <w:tc>
          <w:tcPr>
            <w:tcW w:w="2877" w:type="dxa"/>
            <w:shd w:val="clear" w:color="auto" w:fill="D9D9D9"/>
          </w:tcPr>
          <w:p w14:paraId="53652F5D" w14:textId="77777777" w:rsidR="00E235B1" w:rsidRPr="00E235B1" w:rsidRDefault="00E235B1" w:rsidP="00327546">
            <w:pPr>
              <w:pStyle w:val="TableParagraph"/>
              <w:ind w:left="110"/>
              <w:rPr>
                <w:rFonts w:ascii="Arial" w:hAnsi="Arial" w:cs="Arial"/>
                <w:b/>
                <w:sz w:val="20"/>
                <w:szCs w:val="20"/>
              </w:rPr>
            </w:pPr>
            <w:r w:rsidRPr="00E235B1">
              <w:rPr>
                <w:rFonts w:ascii="Arial" w:hAnsi="Arial" w:cs="Arial"/>
                <w:b/>
                <w:spacing w:val="-2"/>
                <w:sz w:val="20"/>
                <w:szCs w:val="20"/>
              </w:rPr>
              <w:t>Group/Portfolio</w:t>
            </w:r>
          </w:p>
        </w:tc>
        <w:tc>
          <w:tcPr>
            <w:tcW w:w="6198" w:type="dxa"/>
          </w:tcPr>
          <w:p w14:paraId="6BD6E3BD" w14:textId="77777777" w:rsidR="00E235B1" w:rsidRPr="00E235B1" w:rsidRDefault="00E235B1" w:rsidP="00327546">
            <w:pPr>
              <w:pStyle w:val="TableParagraph"/>
              <w:rPr>
                <w:rFonts w:ascii="Arial" w:hAnsi="Arial" w:cs="Arial"/>
                <w:sz w:val="20"/>
                <w:szCs w:val="20"/>
              </w:rPr>
            </w:pPr>
            <w:r w:rsidRPr="00E235B1">
              <w:rPr>
                <w:rFonts w:ascii="Arial" w:hAnsi="Arial" w:cs="Arial"/>
                <w:sz w:val="20"/>
                <w:szCs w:val="20"/>
              </w:rPr>
              <w:t>Human</w:t>
            </w:r>
            <w:r w:rsidRPr="00E235B1">
              <w:rPr>
                <w:rFonts w:ascii="Arial" w:hAnsi="Arial" w:cs="Arial"/>
                <w:spacing w:val="-5"/>
                <w:sz w:val="20"/>
                <w:szCs w:val="20"/>
              </w:rPr>
              <w:t xml:space="preserve"> </w:t>
            </w:r>
            <w:r w:rsidRPr="00E235B1">
              <w:rPr>
                <w:rFonts w:ascii="Arial" w:hAnsi="Arial" w:cs="Arial"/>
                <w:spacing w:val="-2"/>
                <w:sz w:val="20"/>
                <w:szCs w:val="20"/>
              </w:rPr>
              <w:t>Resources</w:t>
            </w:r>
          </w:p>
        </w:tc>
      </w:tr>
      <w:tr w:rsidR="00E235B1" w:rsidRPr="00E235B1" w14:paraId="65792344" w14:textId="77777777" w:rsidTr="00327546">
        <w:trPr>
          <w:trHeight w:val="460"/>
        </w:trPr>
        <w:tc>
          <w:tcPr>
            <w:tcW w:w="2877" w:type="dxa"/>
            <w:shd w:val="clear" w:color="auto" w:fill="D9D9D9"/>
          </w:tcPr>
          <w:p w14:paraId="49EB3230" w14:textId="77777777" w:rsidR="00E235B1" w:rsidRPr="00E235B1" w:rsidRDefault="00E235B1" w:rsidP="00327546">
            <w:pPr>
              <w:pStyle w:val="TableParagraph"/>
              <w:spacing w:before="1"/>
              <w:ind w:left="110"/>
              <w:rPr>
                <w:rFonts w:ascii="Arial" w:hAnsi="Arial" w:cs="Arial"/>
                <w:b/>
                <w:sz w:val="20"/>
                <w:szCs w:val="20"/>
              </w:rPr>
            </w:pPr>
            <w:r w:rsidRPr="00E235B1">
              <w:rPr>
                <w:rFonts w:ascii="Arial" w:hAnsi="Arial" w:cs="Arial"/>
                <w:b/>
                <w:spacing w:val="-2"/>
                <w:sz w:val="20"/>
                <w:szCs w:val="20"/>
              </w:rPr>
              <w:t>Classification</w:t>
            </w:r>
          </w:p>
        </w:tc>
        <w:tc>
          <w:tcPr>
            <w:tcW w:w="6198" w:type="dxa"/>
          </w:tcPr>
          <w:p w14:paraId="5EF12DDB" w14:textId="77777777" w:rsidR="00E235B1" w:rsidRPr="00E235B1" w:rsidRDefault="00E235B1" w:rsidP="00327546">
            <w:pPr>
              <w:pStyle w:val="TableParagraph"/>
              <w:spacing w:before="1"/>
              <w:rPr>
                <w:rFonts w:ascii="Arial" w:hAnsi="Arial" w:cs="Arial"/>
                <w:sz w:val="20"/>
                <w:szCs w:val="20"/>
              </w:rPr>
            </w:pPr>
            <w:r w:rsidRPr="00E235B1">
              <w:rPr>
                <w:rFonts w:ascii="Arial" w:hAnsi="Arial" w:cs="Arial"/>
                <w:sz w:val="20"/>
                <w:szCs w:val="20"/>
              </w:rPr>
              <w:t>HEW</w:t>
            </w:r>
            <w:r w:rsidRPr="00E235B1">
              <w:rPr>
                <w:rFonts w:ascii="Arial" w:hAnsi="Arial" w:cs="Arial"/>
                <w:spacing w:val="-3"/>
                <w:sz w:val="20"/>
                <w:szCs w:val="20"/>
              </w:rPr>
              <w:t xml:space="preserve"> </w:t>
            </w:r>
            <w:r w:rsidRPr="00E235B1">
              <w:rPr>
                <w:rFonts w:ascii="Arial" w:hAnsi="Arial" w:cs="Arial"/>
                <w:sz w:val="20"/>
                <w:szCs w:val="20"/>
              </w:rPr>
              <w:t>Level</w:t>
            </w:r>
            <w:r w:rsidRPr="00E235B1">
              <w:rPr>
                <w:rFonts w:ascii="Arial" w:hAnsi="Arial" w:cs="Arial"/>
                <w:spacing w:val="3"/>
                <w:sz w:val="20"/>
                <w:szCs w:val="20"/>
              </w:rPr>
              <w:t xml:space="preserve"> </w:t>
            </w:r>
            <w:r w:rsidRPr="00E235B1">
              <w:rPr>
                <w:rFonts w:ascii="Arial" w:hAnsi="Arial" w:cs="Arial"/>
                <w:spacing w:val="-10"/>
                <w:sz w:val="20"/>
                <w:szCs w:val="20"/>
              </w:rPr>
              <w:t>8</w:t>
            </w:r>
          </w:p>
        </w:tc>
      </w:tr>
      <w:tr w:rsidR="00E235B1" w:rsidRPr="00E235B1" w14:paraId="13DD1536" w14:textId="77777777" w:rsidTr="00327546">
        <w:trPr>
          <w:trHeight w:val="460"/>
        </w:trPr>
        <w:tc>
          <w:tcPr>
            <w:tcW w:w="2877" w:type="dxa"/>
            <w:shd w:val="clear" w:color="auto" w:fill="D9D9D9"/>
          </w:tcPr>
          <w:p w14:paraId="734AD971" w14:textId="77777777" w:rsidR="00E235B1" w:rsidRPr="00E235B1" w:rsidRDefault="00E235B1" w:rsidP="00327546">
            <w:pPr>
              <w:pStyle w:val="TableParagraph"/>
              <w:ind w:left="110"/>
              <w:rPr>
                <w:rFonts w:ascii="Arial" w:hAnsi="Arial" w:cs="Arial"/>
                <w:b/>
                <w:sz w:val="20"/>
                <w:szCs w:val="20"/>
              </w:rPr>
            </w:pPr>
            <w:r w:rsidRPr="00E235B1">
              <w:rPr>
                <w:rFonts w:ascii="Arial" w:hAnsi="Arial" w:cs="Arial"/>
                <w:b/>
                <w:sz w:val="20"/>
                <w:szCs w:val="20"/>
              </w:rPr>
              <w:t xml:space="preserve">Position </w:t>
            </w:r>
            <w:r w:rsidRPr="00E235B1">
              <w:rPr>
                <w:rFonts w:ascii="Arial" w:hAnsi="Arial" w:cs="Arial"/>
                <w:b/>
                <w:spacing w:val="-2"/>
                <w:sz w:val="20"/>
                <w:szCs w:val="20"/>
              </w:rPr>
              <w:t>Number</w:t>
            </w:r>
          </w:p>
        </w:tc>
        <w:tc>
          <w:tcPr>
            <w:tcW w:w="6198" w:type="dxa"/>
          </w:tcPr>
          <w:p w14:paraId="1984B9EA" w14:textId="77777777" w:rsidR="00E235B1" w:rsidRPr="00E235B1" w:rsidRDefault="00E235B1" w:rsidP="00327546">
            <w:pPr>
              <w:pStyle w:val="TableParagraph"/>
              <w:rPr>
                <w:rFonts w:ascii="Arial" w:hAnsi="Arial" w:cs="Arial"/>
                <w:sz w:val="20"/>
                <w:szCs w:val="20"/>
              </w:rPr>
            </w:pPr>
            <w:r w:rsidRPr="00E235B1">
              <w:rPr>
                <w:rFonts w:ascii="Arial" w:hAnsi="Arial" w:cs="Arial"/>
                <w:sz w:val="20"/>
                <w:szCs w:val="20"/>
              </w:rPr>
              <w:t>00053454</w:t>
            </w:r>
          </w:p>
        </w:tc>
      </w:tr>
      <w:tr w:rsidR="00E235B1" w:rsidRPr="00E235B1" w14:paraId="11E6E60C" w14:textId="77777777" w:rsidTr="00327546">
        <w:trPr>
          <w:trHeight w:val="460"/>
        </w:trPr>
        <w:tc>
          <w:tcPr>
            <w:tcW w:w="2877" w:type="dxa"/>
            <w:shd w:val="clear" w:color="auto" w:fill="D9D9D9"/>
          </w:tcPr>
          <w:p w14:paraId="23836BDF" w14:textId="77777777" w:rsidR="00E235B1" w:rsidRPr="00E235B1" w:rsidRDefault="00E235B1" w:rsidP="00327546">
            <w:pPr>
              <w:pStyle w:val="TableParagraph"/>
              <w:ind w:left="110"/>
              <w:rPr>
                <w:rFonts w:ascii="Arial" w:hAnsi="Arial" w:cs="Arial"/>
                <w:b/>
                <w:sz w:val="20"/>
                <w:szCs w:val="20"/>
              </w:rPr>
            </w:pPr>
            <w:r w:rsidRPr="00E235B1">
              <w:rPr>
                <w:rFonts w:ascii="Arial" w:hAnsi="Arial" w:cs="Arial"/>
                <w:b/>
                <w:sz w:val="20"/>
                <w:szCs w:val="20"/>
              </w:rPr>
              <w:t>Reports</w:t>
            </w:r>
            <w:r w:rsidRPr="00E235B1">
              <w:rPr>
                <w:rFonts w:ascii="Arial" w:hAnsi="Arial" w:cs="Arial"/>
                <w:b/>
                <w:spacing w:val="-3"/>
                <w:sz w:val="20"/>
                <w:szCs w:val="20"/>
              </w:rPr>
              <w:t xml:space="preserve"> </w:t>
            </w:r>
            <w:r w:rsidRPr="00E235B1">
              <w:rPr>
                <w:rFonts w:ascii="Arial" w:hAnsi="Arial" w:cs="Arial"/>
                <w:b/>
                <w:spacing w:val="-5"/>
                <w:sz w:val="20"/>
                <w:szCs w:val="20"/>
              </w:rPr>
              <w:t>To</w:t>
            </w:r>
          </w:p>
        </w:tc>
        <w:tc>
          <w:tcPr>
            <w:tcW w:w="6198" w:type="dxa"/>
          </w:tcPr>
          <w:p w14:paraId="03CE06C8" w14:textId="77777777" w:rsidR="00E235B1" w:rsidRPr="00E235B1" w:rsidRDefault="00E235B1" w:rsidP="00327546">
            <w:pPr>
              <w:pStyle w:val="TableParagraph"/>
              <w:rPr>
                <w:rFonts w:ascii="Arial" w:hAnsi="Arial" w:cs="Arial"/>
                <w:sz w:val="20"/>
                <w:szCs w:val="20"/>
              </w:rPr>
            </w:pPr>
            <w:r w:rsidRPr="00E235B1">
              <w:rPr>
                <w:rFonts w:ascii="Arial" w:hAnsi="Arial" w:cs="Arial"/>
                <w:sz w:val="20"/>
                <w:szCs w:val="20"/>
              </w:rPr>
              <w:t>Senior</w:t>
            </w:r>
            <w:r w:rsidRPr="00E235B1">
              <w:rPr>
                <w:rFonts w:ascii="Arial" w:hAnsi="Arial" w:cs="Arial"/>
                <w:spacing w:val="-3"/>
                <w:sz w:val="20"/>
                <w:szCs w:val="20"/>
              </w:rPr>
              <w:t xml:space="preserve"> </w:t>
            </w:r>
            <w:r w:rsidRPr="00E235B1">
              <w:rPr>
                <w:rFonts w:ascii="Arial" w:hAnsi="Arial" w:cs="Arial"/>
                <w:sz w:val="20"/>
                <w:szCs w:val="20"/>
              </w:rPr>
              <w:t>Business</w:t>
            </w:r>
            <w:r w:rsidRPr="00E235B1">
              <w:rPr>
                <w:rFonts w:ascii="Arial" w:hAnsi="Arial" w:cs="Arial"/>
                <w:spacing w:val="-4"/>
                <w:sz w:val="20"/>
                <w:szCs w:val="20"/>
              </w:rPr>
              <w:t xml:space="preserve"> </w:t>
            </w:r>
            <w:r w:rsidRPr="00E235B1">
              <w:rPr>
                <w:rFonts w:ascii="Arial" w:hAnsi="Arial" w:cs="Arial"/>
                <w:spacing w:val="-2"/>
                <w:sz w:val="20"/>
                <w:szCs w:val="20"/>
              </w:rPr>
              <w:t>Partner</w:t>
            </w:r>
          </w:p>
        </w:tc>
      </w:tr>
      <w:tr w:rsidR="00E235B1" w:rsidRPr="00E235B1" w14:paraId="7885DE80" w14:textId="77777777" w:rsidTr="00327546">
        <w:trPr>
          <w:trHeight w:val="460"/>
        </w:trPr>
        <w:tc>
          <w:tcPr>
            <w:tcW w:w="2877" w:type="dxa"/>
            <w:shd w:val="clear" w:color="auto" w:fill="D9D9D9"/>
          </w:tcPr>
          <w:p w14:paraId="62142775" w14:textId="77777777" w:rsidR="00E235B1" w:rsidRPr="00E235B1" w:rsidRDefault="00E235B1" w:rsidP="00327546">
            <w:pPr>
              <w:pStyle w:val="TableParagraph"/>
              <w:ind w:left="110"/>
              <w:rPr>
                <w:rFonts w:ascii="Arial" w:hAnsi="Arial" w:cs="Arial"/>
                <w:b/>
                <w:sz w:val="20"/>
                <w:szCs w:val="20"/>
              </w:rPr>
            </w:pPr>
            <w:r w:rsidRPr="00E235B1">
              <w:rPr>
                <w:rFonts w:ascii="Arial" w:hAnsi="Arial" w:cs="Arial"/>
                <w:b/>
                <w:sz w:val="20"/>
                <w:szCs w:val="20"/>
              </w:rPr>
              <w:t>Employment</w:t>
            </w:r>
            <w:r w:rsidRPr="00E235B1">
              <w:rPr>
                <w:rFonts w:ascii="Arial" w:hAnsi="Arial" w:cs="Arial"/>
                <w:b/>
                <w:spacing w:val="-5"/>
                <w:sz w:val="20"/>
                <w:szCs w:val="20"/>
              </w:rPr>
              <w:t xml:space="preserve"> </w:t>
            </w:r>
            <w:r w:rsidRPr="00E235B1">
              <w:rPr>
                <w:rFonts w:ascii="Arial" w:hAnsi="Arial" w:cs="Arial"/>
                <w:b/>
                <w:spacing w:val="-4"/>
                <w:sz w:val="20"/>
                <w:szCs w:val="20"/>
              </w:rPr>
              <w:t>Type</w:t>
            </w:r>
          </w:p>
        </w:tc>
        <w:tc>
          <w:tcPr>
            <w:tcW w:w="6198" w:type="dxa"/>
          </w:tcPr>
          <w:p w14:paraId="3A3AB02F" w14:textId="77777777" w:rsidR="00E235B1" w:rsidRPr="00E235B1" w:rsidRDefault="00E235B1" w:rsidP="00327546">
            <w:pPr>
              <w:pStyle w:val="TableParagraph"/>
              <w:rPr>
                <w:rFonts w:ascii="Arial" w:hAnsi="Arial" w:cs="Arial"/>
                <w:sz w:val="20"/>
                <w:szCs w:val="20"/>
              </w:rPr>
            </w:pPr>
            <w:r w:rsidRPr="00E235B1">
              <w:rPr>
                <w:rFonts w:ascii="Arial" w:hAnsi="Arial" w:cs="Arial"/>
                <w:spacing w:val="-2"/>
                <w:sz w:val="20"/>
                <w:szCs w:val="20"/>
              </w:rPr>
              <w:t xml:space="preserve">Fixed term  </w:t>
            </w:r>
          </w:p>
        </w:tc>
      </w:tr>
    </w:tbl>
    <w:p w14:paraId="42B5D620" w14:textId="77777777" w:rsidR="00E235B1" w:rsidRPr="00E235B1" w:rsidRDefault="00E235B1" w:rsidP="00E235B1">
      <w:pPr>
        <w:pStyle w:val="BodyText"/>
        <w:spacing w:before="4"/>
      </w:pPr>
    </w:p>
    <w:p w14:paraId="54E46CC1" w14:textId="77777777" w:rsidR="00E235B1" w:rsidRPr="00E235B1" w:rsidRDefault="00E235B1" w:rsidP="00E235B1">
      <w:pPr>
        <w:pStyle w:val="BodyText"/>
        <w:tabs>
          <w:tab w:val="left" w:pos="426"/>
        </w:tabs>
        <w:spacing w:before="55"/>
        <w:ind w:left="426" w:right="-46"/>
      </w:pPr>
      <w:bookmarkStart w:id="0" w:name="1.0_Position_Purpose"/>
      <w:bookmarkEnd w:id="0"/>
      <w:r w:rsidRPr="00E235B1">
        <w:rPr>
          <w:color w:val="E10816"/>
        </w:rPr>
        <w:t>Position</w:t>
      </w:r>
      <w:r w:rsidRPr="00E235B1">
        <w:rPr>
          <w:color w:val="E10816"/>
          <w:spacing w:val="-5"/>
        </w:rPr>
        <w:t xml:space="preserve"> </w:t>
      </w:r>
      <w:r w:rsidRPr="00E235B1">
        <w:rPr>
          <w:color w:val="E10816"/>
          <w:spacing w:val="-2"/>
        </w:rPr>
        <w:t>Purpose</w:t>
      </w:r>
    </w:p>
    <w:p w14:paraId="5A2D0DDD" w14:textId="77777777" w:rsidR="00E235B1" w:rsidRPr="00E235B1" w:rsidRDefault="00E235B1" w:rsidP="00E235B1">
      <w:pPr>
        <w:tabs>
          <w:tab w:val="left" w:pos="426"/>
          <w:tab w:val="left" w:pos="1240"/>
          <w:tab w:val="left" w:pos="1241"/>
        </w:tabs>
        <w:spacing w:before="187"/>
        <w:ind w:left="426" w:right="-46"/>
        <w:rPr>
          <w:rFonts w:ascii="Arial" w:hAnsi="Arial" w:cs="Arial"/>
          <w:sz w:val="20"/>
          <w:szCs w:val="20"/>
        </w:rPr>
      </w:pPr>
      <w:bookmarkStart w:id="1" w:name="The_Business_Partner_contributes_to_ensu"/>
      <w:bookmarkEnd w:id="1"/>
      <w:r w:rsidRPr="00E235B1">
        <w:rPr>
          <w:rFonts w:ascii="Arial" w:hAnsi="Arial" w:cs="Arial"/>
          <w:sz w:val="20"/>
          <w:szCs w:val="20"/>
        </w:rPr>
        <w:t xml:space="preserve">The HR Business Partner is a trusted advisor who collaborates with Griffith University’s leadership to deliver effective and efficient HR services. This role supports the Senior HR Business Partner in implementing people strategies that enhance workforce capability, engagement, and compliance. The HR Business Partner leverages data and HR best practices to provide solutions that align with the University's strategic goals. </w:t>
      </w:r>
    </w:p>
    <w:p w14:paraId="0D79CAC1" w14:textId="77777777" w:rsidR="00E235B1" w:rsidRPr="00E235B1" w:rsidRDefault="00E235B1" w:rsidP="00E235B1">
      <w:pPr>
        <w:pStyle w:val="BodyText"/>
        <w:tabs>
          <w:tab w:val="left" w:pos="426"/>
        </w:tabs>
        <w:spacing w:before="10"/>
        <w:ind w:left="426" w:right="-46"/>
      </w:pPr>
    </w:p>
    <w:p w14:paraId="1463FE12" w14:textId="77777777" w:rsidR="00E235B1" w:rsidRPr="00E235B1" w:rsidRDefault="00E235B1" w:rsidP="00E235B1">
      <w:pPr>
        <w:pStyle w:val="BodyText"/>
        <w:tabs>
          <w:tab w:val="left" w:pos="426"/>
        </w:tabs>
        <w:ind w:left="426" w:right="-46"/>
        <w:rPr>
          <w:color w:val="E10816"/>
          <w:spacing w:val="-2"/>
        </w:rPr>
      </w:pPr>
      <w:r w:rsidRPr="00E235B1">
        <w:rPr>
          <w:color w:val="E10816"/>
          <w:spacing w:val="-2"/>
        </w:rPr>
        <w:t>Qualifications and Experiences</w:t>
      </w:r>
      <w:r w:rsidRPr="00E235B1">
        <w:rPr>
          <w:color w:val="E10816"/>
          <w:spacing w:val="-2"/>
        </w:rPr>
        <w:br/>
      </w:r>
    </w:p>
    <w:p w14:paraId="5B16B59B" w14:textId="77777777" w:rsidR="00E235B1" w:rsidRPr="00E235B1" w:rsidRDefault="00E235B1" w:rsidP="00E235B1">
      <w:pPr>
        <w:pStyle w:val="BodyText"/>
        <w:numPr>
          <w:ilvl w:val="0"/>
          <w:numId w:val="10"/>
        </w:numPr>
        <w:tabs>
          <w:tab w:val="left" w:pos="426"/>
        </w:tabs>
        <w:ind w:right="-46" w:hanging="294"/>
      </w:pPr>
      <w:r w:rsidRPr="00E235B1">
        <w:t>The occupant of this position will hold relevant tertiary qualifications in Human Resources, Business, Commerce, Psychology and relevant experience in Human Resources.</w:t>
      </w:r>
    </w:p>
    <w:p w14:paraId="1141D693" w14:textId="77777777" w:rsidR="00E235B1" w:rsidRPr="00E235B1" w:rsidRDefault="00E235B1" w:rsidP="00E235B1">
      <w:pPr>
        <w:pStyle w:val="BodyText"/>
        <w:tabs>
          <w:tab w:val="left" w:pos="426"/>
        </w:tabs>
        <w:ind w:left="426" w:right="-46" w:hanging="294"/>
      </w:pPr>
    </w:p>
    <w:p w14:paraId="25D18205" w14:textId="5739389C" w:rsidR="00E235B1" w:rsidRPr="00E235B1" w:rsidRDefault="00E235B1" w:rsidP="00E235B1">
      <w:pPr>
        <w:pStyle w:val="BodyText"/>
        <w:numPr>
          <w:ilvl w:val="0"/>
          <w:numId w:val="10"/>
        </w:numPr>
        <w:tabs>
          <w:tab w:val="left" w:pos="426"/>
        </w:tabs>
        <w:ind w:right="-46" w:hanging="294"/>
      </w:pPr>
      <w:r w:rsidRPr="00E235B1">
        <w:t xml:space="preserve">Experience with modern HR Information and Applicant Tracking Systems (e.g. PeopleSoft, </w:t>
      </w:r>
      <w:proofErr w:type="spellStart"/>
      <w:r w:rsidRPr="00E235B1">
        <w:t>SmartRecruiters</w:t>
      </w:r>
      <w:proofErr w:type="spellEnd"/>
      <w:r w:rsidRPr="00E235B1">
        <w:t xml:space="preserve">, Workday or </w:t>
      </w:r>
      <w:proofErr w:type="spellStart"/>
      <w:r w:rsidRPr="00E235B1">
        <w:t>PageUp</w:t>
      </w:r>
      <w:proofErr w:type="spellEnd"/>
      <w:r w:rsidRPr="00E235B1">
        <w:t xml:space="preserve">) </w:t>
      </w:r>
    </w:p>
    <w:p w14:paraId="7175D1A1" w14:textId="77777777" w:rsidR="00E235B1" w:rsidRPr="00E235B1" w:rsidRDefault="00E235B1" w:rsidP="00E235B1">
      <w:pPr>
        <w:pStyle w:val="BodyText"/>
        <w:tabs>
          <w:tab w:val="left" w:pos="426"/>
        </w:tabs>
        <w:ind w:left="426" w:right="-46" w:hanging="294"/>
      </w:pPr>
    </w:p>
    <w:p w14:paraId="4FF80932" w14:textId="77777777" w:rsidR="00E235B1" w:rsidRPr="00E235B1" w:rsidRDefault="00E235B1" w:rsidP="00E235B1">
      <w:pPr>
        <w:pStyle w:val="BodyText"/>
        <w:numPr>
          <w:ilvl w:val="0"/>
          <w:numId w:val="10"/>
        </w:numPr>
        <w:tabs>
          <w:tab w:val="left" w:pos="426"/>
        </w:tabs>
        <w:ind w:right="-46" w:hanging="294"/>
      </w:pPr>
      <w:r w:rsidRPr="00E235B1">
        <w:t xml:space="preserve">Experience utilising Business Intelligence tools to develop reports and provide insights to leaders (e.g. Tableau or </w:t>
      </w:r>
      <w:proofErr w:type="spellStart"/>
      <w:r w:rsidRPr="00E235B1">
        <w:t>PowerBI</w:t>
      </w:r>
      <w:proofErr w:type="spellEnd"/>
      <w:r w:rsidRPr="00E235B1">
        <w:t xml:space="preserve">) </w:t>
      </w:r>
    </w:p>
    <w:p w14:paraId="798598CE" w14:textId="77777777" w:rsidR="00E235B1" w:rsidRPr="00E235B1" w:rsidRDefault="00E235B1" w:rsidP="00E235B1">
      <w:pPr>
        <w:pStyle w:val="BodyText"/>
        <w:tabs>
          <w:tab w:val="left" w:pos="426"/>
        </w:tabs>
        <w:ind w:left="426" w:right="-46" w:hanging="294"/>
      </w:pPr>
    </w:p>
    <w:p w14:paraId="15440848" w14:textId="77777777" w:rsidR="00E235B1" w:rsidRPr="00E235B1" w:rsidRDefault="00E235B1" w:rsidP="00E235B1">
      <w:pPr>
        <w:pStyle w:val="BodyText"/>
        <w:numPr>
          <w:ilvl w:val="0"/>
          <w:numId w:val="10"/>
        </w:numPr>
        <w:tabs>
          <w:tab w:val="left" w:pos="426"/>
        </w:tabs>
        <w:ind w:right="-46" w:hanging="294"/>
      </w:pPr>
      <w:r w:rsidRPr="00E235B1">
        <w:t>Experience and certification with a Job Evaluation Tool, preferably Mercer CED or similar</w:t>
      </w:r>
    </w:p>
    <w:p w14:paraId="6DFE65EE" w14:textId="77777777" w:rsidR="00E235B1" w:rsidRPr="00E235B1" w:rsidRDefault="00E235B1" w:rsidP="00E235B1">
      <w:pPr>
        <w:pStyle w:val="BodyText"/>
        <w:tabs>
          <w:tab w:val="left" w:pos="426"/>
        </w:tabs>
        <w:ind w:left="426" w:right="-46" w:hanging="294"/>
      </w:pPr>
    </w:p>
    <w:p w14:paraId="53994901" w14:textId="77777777" w:rsidR="00E235B1" w:rsidRDefault="00E235B1" w:rsidP="00E235B1">
      <w:pPr>
        <w:pStyle w:val="BodyText"/>
        <w:numPr>
          <w:ilvl w:val="0"/>
          <w:numId w:val="10"/>
        </w:numPr>
        <w:tabs>
          <w:tab w:val="left" w:pos="709"/>
        </w:tabs>
        <w:ind w:right="-46" w:hanging="294"/>
      </w:pPr>
      <w:r w:rsidRPr="00E235B1">
        <w:t>Experience in Union engagement and application of employment tools such as Fair Work Act, Enterprise Agreements and/or Modern Awards</w:t>
      </w:r>
    </w:p>
    <w:p w14:paraId="556AA917" w14:textId="77777777" w:rsidR="00E235B1" w:rsidRPr="00E235B1" w:rsidRDefault="00E235B1" w:rsidP="00E235B1">
      <w:pPr>
        <w:pStyle w:val="BodyText"/>
        <w:tabs>
          <w:tab w:val="left" w:pos="426"/>
        </w:tabs>
        <w:ind w:right="-46"/>
      </w:pPr>
    </w:p>
    <w:p w14:paraId="3A929AC8" w14:textId="77777777" w:rsidR="00E235B1" w:rsidRPr="00E235B1" w:rsidRDefault="00E235B1" w:rsidP="00E235B1">
      <w:pPr>
        <w:pStyle w:val="BodyText"/>
        <w:tabs>
          <w:tab w:val="left" w:pos="426"/>
        </w:tabs>
        <w:ind w:left="426" w:right="-46"/>
      </w:pPr>
    </w:p>
    <w:p w14:paraId="2548C852" w14:textId="77777777" w:rsidR="00E235B1" w:rsidRDefault="00E235B1" w:rsidP="00E235B1">
      <w:pPr>
        <w:pStyle w:val="BodyText"/>
        <w:tabs>
          <w:tab w:val="left" w:pos="426"/>
        </w:tabs>
        <w:ind w:left="426" w:right="-46"/>
        <w:rPr>
          <w:color w:val="E10816"/>
          <w:spacing w:val="-2"/>
        </w:rPr>
      </w:pPr>
      <w:r w:rsidRPr="00E235B1">
        <w:rPr>
          <w:color w:val="E10816"/>
        </w:rPr>
        <w:t xml:space="preserve">Key </w:t>
      </w:r>
      <w:r w:rsidRPr="00E235B1">
        <w:rPr>
          <w:color w:val="E10816"/>
          <w:spacing w:val="-2"/>
        </w:rPr>
        <w:t>Responsibilities</w:t>
      </w:r>
    </w:p>
    <w:p w14:paraId="6D51712C" w14:textId="77777777" w:rsidR="00E235B1" w:rsidRPr="00E235B1" w:rsidRDefault="00E235B1" w:rsidP="00E235B1">
      <w:pPr>
        <w:pStyle w:val="BodyText"/>
        <w:tabs>
          <w:tab w:val="left" w:pos="426"/>
        </w:tabs>
        <w:ind w:left="426" w:right="-46"/>
      </w:pPr>
    </w:p>
    <w:p w14:paraId="7439A736"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Partner with the Senior HR Business Partner</w:t>
      </w:r>
      <w:r w:rsidRPr="00E235B1">
        <w:rPr>
          <w:rFonts w:ascii="Arial" w:hAnsi="Arial" w:cs="Arial"/>
          <w:sz w:val="20"/>
          <w:szCs w:val="20"/>
        </w:rPr>
        <w:t xml:space="preserve"> to execute on key workforce operational activities and support broader workforce strategies and initiatives that enhance the workforce capability. </w:t>
      </w:r>
    </w:p>
    <w:p w14:paraId="1B4F7493" w14:textId="77777777" w:rsidR="00E235B1" w:rsidRPr="00E235B1" w:rsidRDefault="00E235B1" w:rsidP="00E235B1">
      <w:pPr>
        <w:pStyle w:val="ListParagraph"/>
        <w:tabs>
          <w:tab w:val="left" w:pos="709"/>
        </w:tabs>
        <w:ind w:left="709" w:right="-46"/>
        <w:rPr>
          <w:rFonts w:ascii="Arial" w:hAnsi="Arial" w:cs="Arial"/>
          <w:sz w:val="20"/>
          <w:szCs w:val="20"/>
        </w:rPr>
      </w:pPr>
    </w:p>
    <w:p w14:paraId="62D0B003"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Provide timely and practical advice</w:t>
      </w:r>
      <w:r w:rsidRPr="00E235B1">
        <w:rPr>
          <w:rFonts w:ascii="Arial" w:hAnsi="Arial" w:cs="Arial"/>
          <w:sz w:val="20"/>
          <w:szCs w:val="20"/>
        </w:rPr>
        <w:t xml:space="preserve"> to managers and staff on a range of HR matters including employee relations, performance management, recruitment, and workforce planning. </w:t>
      </w:r>
    </w:p>
    <w:p w14:paraId="046388EE" w14:textId="77777777" w:rsidR="00E235B1" w:rsidRPr="00E235B1" w:rsidRDefault="00E235B1" w:rsidP="00E235B1">
      <w:pPr>
        <w:tabs>
          <w:tab w:val="left" w:pos="709"/>
        </w:tabs>
        <w:ind w:right="-46"/>
        <w:rPr>
          <w:rFonts w:ascii="Arial" w:hAnsi="Arial" w:cs="Arial"/>
          <w:sz w:val="20"/>
          <w:szCs w:val="20"/>
        </w:rPr>
      </w:pPr>
    </w:p>
    <w:p w14:paraId="7AFD446B"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Support workforce planning activities</w:t>
      </w:r>
      <w:r w:rsidRPr="00E235B1">
        <w:rPr>
          <w:rFonts w:ascii="Arial" w:hAnsi="Arial" w:cs="Arial"/>
          <w:sz w:val="20"/>
          <w:szCs w:val="20"/>
        </w:rPr>
        <w:t xml:space="preserve"> by analysing workforce data, identifying trends, and assisting in the development of workforce solutions that address current and future needs. </w:t>
      </w:r>
    </w:p>
    <w:p w14:paraId="442652A5" w14:textId="77777777" w:rsidR="00E235B1" w:rsidRPr="00E235B1" w:rsidRDefault="00E235B1" w:rsidP="00E235B1">
      <w:pPr>
        <w:pStyle w:val="ListParagraph"/>
        <w:tabs>
          <w:tab w:val="left" w:pos="709"/>
        </w:tabs>
        <w:ind w:left="709" w:right="-46"/>
        <w:rPr>
          <w:rFonts w:ascii="Arial" w:hAnsi="Arial" w:cs="Arial"/>
          <w:sz w:val="20"/>
          <w:szCs w:val="20"/>
        </w:rPr>
      </w:pPr>
    </w:p>
    <w:p w14:paraId="6136BB33"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Contribute to change management initiatives</w:t>
      </w:r>
      <w:r w:rsidRPr="00E235B1">
        <w:rPr>
          <w:rFonts w:ascii="Arial" w:hAnsi="Arial" w:cs="Arial"/>
          <w:sz w:val="20"/>
          <w:szCs w:val="20"/>
        </w:rPr>
        <w:t xml:space="preserve"> by supporting communication, engagement, and implementation strategies that ensure smooth transitions and staff alignment.</w:t>
      </w:r>
    </w:p>
    <w:p w14:paraId="1BAE11BB" w14:textId="77777777" w:rsidR="00E235B1" w:rsidRPr="00E235B1" w:rsidRDefault="00E235B1" w:rsidP="00E235B1">
      <w:pPr>
        <w:pStyle w:val="ListParagraph"/>
        <w:rPr>
          <w:rFonts w:ascii="Arial" w:hAnsi="Arial" w:cs="Arial"/>
          <w:sz w:val="20"/>
          <w:szCs w:val="20"/>
        </w:rPr>
      </w:pPr>
    </w:p>
    <w:p w14:paraId="4120A02F" w14:textId="77777777" w:rsidR="00E235B1" w:rsidRPr="00E235B1" w:rsidRDefault="00E235B1" w:rsidP="00E235B1">
      <w:pPr>
        <w:pStyle w:val="ListParagraph"/>
        <w:tabs>
          <w:tab w:val="left" w:pos="709"/>
        </w:tabs>
        <w:ind w:left="709" w:right="-46"/>
        <w:rPr>
          <w:rFonts w:ascii="Arial" w:hAnsi="Arial" w:cs="Arial"/>
          <w:sz w:val="20"/>
          <w:szCs w:val="20"/>
        </w:rPr>
      </w:pPr>
    </w:p>
    <w:p w14:paraId="0BB876F6"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sz w:val="20"/>
          <w:szCs w:val="20"/>
        </w:rPr>
        <w:t xml:space="preserve"> </w:t>
      </w:r>
      <w:r w:rsidRPr="00E235B1">
        <w:rPr>
          <w:rFonts w:ascii="Arial" w:hAnsi="Arial" w:cs="Arial"/>
          <w:b/>
          <w:bCs/>
          <w:sz w:val="20"/>
          <w:szCs w:val="20"/>
        </w:rPr>
        <w:t>Promote a positive and inclusive workplace culture</w:t>
      </w:r>
      <w:r w:rsidRPr="00E235B1">
        <w:rPr>
          <w:rFonts w:ascii="Arial" w:hAnsi="Arial" w:cs="Arial"/>
          <w:sz w:val="20"/>
          <w:szCs w:val="20"/>
        </w:rPr>
        <w:t xml:space="preserve"> by supporting diversity, equity, and wellbeing initiatives and encouraging constructive workplace behaviours. </w:t>
      </w:r>
    </w:p>
    <w:p w14:paraId="03741C5B" w14:textId="77777777" w:rsidR="00E235B1" w:rsidRPr="00E235B1" w:rsidRDefault="00E235B1" w:rsidP="00E235B1">
      <w:pPr>
        <w:pStyle w:val="ListParagraph"/>
        <w:tabs>
          <w:tab w:val="left" w:pos="709"/>
        </w:tabs>
        <w:ind w:left="709" w:right="-46"/>
        <w:rPr>
          <w:rFonts w:ascii="Arial" w:hAnsi="Arial" w:cs="Arial"/>
          <w:sz w:val="20"/>
          <w:szCs w:val="20"/>
        </w:rPr>
      </w:pPr>
    </w:p>
    <w:p w14:paraId="3EB87044"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Collaborate with internal stakeholders</w:t>
      </w:r>
      <w:r w:rsidRPr="00E235B1">
        <w:rPr>
          <w:rFonts w:ascii="Arial" w:hAnsi="Arial" w:cs="Arial"/>
          <w:sz w:val="20"/>
          <w:szCs w:val="20"/>
        </w:rPr>
        <w:t xml:space="preserve"> across HR, Finance, Safety, and other functions to deliver integrated, client-focused HR services and solutions. </w:t>
      </w:r>
    </w:p>
    <w:p w14:paraId="2CF3CE79" w14:textId="77777777" w:rsidR="00E235B1" w:rsidRPr="00E235B1" w:rsidRDefault="00E235B1" w:rsidP="00E235B1">
      <w:pPr>
        <w:tabs>
          <w:tab w:val="left" w:pos="709"/>
        </w:tabs>
        <w:ind w:right="-46"/>
        <w:rPr>
          <w:rFonts w:ascii="Arial" w:hAnsi="Arial" w:cs="Arial"/>
          <w:sz w:val="20"/>
          <w:szCs w:val="20"/>
        </w:rPr>
      </w:pPr>
    </w:p>
    <w:p w14:paraId="44B7C3AF"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Maintain accurate and compliant HR Records</w:t>
      </w:r>
      <w:r w:rsidRPr="00E235B1">
        <w:rPr>
          <w:rFonts w:ascii="Arial" w:hAnsi="Arial" w:cs="Arial"/>
          <w:sz w:val="20"/>
          <w:szCs w:val="20"/>
        </w:rPr>
        <w:t xml:space="preserve"> including workforce approvals, position descriptions, case notes, and reports, ensuring alignment with policy and legislative requirements. </w:t>
      </w:r>
    </w:p>
    <w:p w14:paraId="32DAD71F" w14:textId="77777777" w:rsidR="00E235B1" w:rsidRPr="00E235B1" w:rsidRDefault="00E235B1" w:rsidP="00E235B1">
      <w:pPr>
        <w:tabs>
          <w:tab w:val="left" w:pos="709"/>
        </w:tabs>
        <w:ind w:right="-46"/>
        <w:rPr>
          <w:rFonts w:ascii="Arial" w:hAnsi="Arial" w:cs="Arial"/>
          <w:sz w:val="20"/>
          <w:szCs w:val="20"/>
        </w:rPr>
      </w:pPr>
    </w:p>
    <w:p w14:paraId="58DAE864"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Use HR systems and data analytics</w:t>
      </w:r>
      <w:r w:rsidRPr="00E235B1">
        <w:rPr>
          <w:rFonts w:ascii="Arial" w:hAnsi="Arial" w:cs="Arial"/>
          <w:sz w:val="20"/>
          <w:szCs w:val="20"/>
        </w:rPr>
        <w:t xml:space="preserve"> to generate insights, monitor key metrics, and support evidence-based decision-making and continuous improvement. </w:t>
      </w:r>
    </w:p>
    <w:p w14:paraId="34083941" w14:textId="77777777" w:rsidR="00E235B1" w:rsidRPr="00E235B1" w:rsidRDefault="00E235B1" w:rsidP="00E235B1">
      <w:pPr>
        <w:tabs>
          <w:tab w:val="left" w:pos="709"/>
        </w:tabs>
        <w:ind w:right="-46"/>
        <w:rPr>
          <w:rFonts w:ascii="Arial" w:hAnsi="Arial" w:cs="Arial"/>
          <w:sz w:val="20"/>
          <w:szCs w:val="20"/>
        </w:rPr>
      </w:pPr>
    </w:p>
    <w:p w14:paraId="611219AB"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Manage the resolution of employee relations issues,</w:t>
      </w:r>
      <w:r w:rsidRPr="00E235B1">
        <w:rPr>
          <w:rFonts w:ascii="Arial" w:hAnsi="Arial" w:cs="Arial"/>
          <w:sz w:val="20"/>
          <w:szCs w:val="20"/>
        </w:rPr>
        <w:t xml:space="preserve"> including end to end case management such as investigations, disciplinary processes, and conflict resolution, in line with University policies and industrial instruments. </w:t>
      </w:r>
    </w:p>
    <w:p w14:paraId="1029410D" w14:textId="77777777" w:rsidR="00E235B1" w:rsidRPr="00E235B1" w:rsidRDefault="00E235B1" w:rsidP="00E235B1">
      <w:pPr>
        <w:tabs>
          <w:tab w:val="left" w:pos="709"/>
        </w:tabs>
        <w:ind w:right="-46"/>
        <w:rPr>
          <w:rFonts w:ascii="Arial" w:hAnsi="Arial" w:cs="Arial"/>
          <w:sz w:val="20"/>
          <w:szCs w:val="20"/>
        </w:rPr>
      </w:pPr>
    </w:p>
    <w:p w14:paraId="0E6FB10E"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Contribute to HR projects and initiatives</w:t>
      </w:r>
      <w:r w:rsidRPr="00E235B1">
        <w:rPr>
          <w:rFonts w:ascii="Arial" w:hAnsi="Arial" w:cs="Arial"/>
          <w:sz w:val="20"/>
          <w:szCs w:val="20"/>
        </w:rPr>
        <w:t xml:space="preserve">, such as policy reviews, system improvements, and capability development programs, to enhance service delivery and organisational effectiveness. </w:t>
      </w:r>
    </w:p>
    <w:p w14:paraId="0EF7B0F8" w14:textId="77777777" w:rsidR="00E235B1" w:rsidRPr="00E235B1" w:rsidRDefault="00E235B1" w:rsidP="00E235B1">
      <w:pPr>
        <w:tabs>
          <w:tab w:val="left" w:pos="709"/>
        </w:tabs>
        <w:ind w:right="-46"/>
        <w:rPr>
          <w:rFonts w:ascii="Arial" w:hAnsi="Arial" w:cs="Arial"/>
          <w:sz w:val="20"/>
          <w:szCs w:val="20"/>
        </w:rPr>
      </w:pPr>
    </w:p>
    <w:p w14:paraId="6DE82A31" w14:textId="77777777" w:rsidR="00E235B1" w:rsidRP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b/>
          <w:bCs/>
          <w:sz w:val="20"/>
          <w:szCs w:val="20"/>
        </w:rPr>
        <w:t>Stay informed of HR trends, legislation, and best practices,</w:t>
      </w:r>
      <w:r w:rsidRPr="00E235B1">
        <w:rPr>
          <w:rFonts w:ascii="Arial" w:hAnsi="Arial" w:cs="Arial"/>
          <w:sz w:val="20"/>
          <w:szCs w:val="20"/>
        </w:rPr>
        <w:t xml:space="preserve"> and apply this knowledge to support innovation and compliance in HR operations.</w:t>
      </w:r>
      <w:r w:rsidRPr="00E235B1">
        <w:rPr>
          <w:rFonts w:ascii="Arial" w:hAnsi="Arial" w:cs="Arial"/>
          <w:sz w:val="20"/>
          <w:szCs w:val="20"/>
        </w:rPr>
        <w:br/>
      </w:r>
    </w:p>
    <w:p w14:paraId="7EA79E45" w14:textId="1C46C0E2" w:rsidR="00E235B1" w:rsidRDefault="00E235B1" w:rsidP="00E235B1">
      <w:pPr>
        <w:pStyle w:val="elementtoproof"/>
        <w:numPr>
          <w:ilvl w:val="0"/>
          <w:numId w:val="7"/>
        </w:numPr>
        <w:shd w:val="clear" w:color="auto" w:fill="FFFFFF"/>
        <w:tabs>
          <w:tab w:val="left" w:pos="709"/>
        </w:tabs>
        <w:ind w:left="709" w:right="-46" w:hanging="283"/>
        <w:rPr>
          <w:rFonts w:ascii="Arial" w:eastAsia="Calibri" w:hAnsi="Arial" w:cs="Arial"/>
          <w:sz w:val="20"/>
          <w:szCs w:val="20"/>
          <w:lang w:val="en-GB" w:eastAsia="en-US"/>
        </w:rPr>
      </w:pPr>
      <w:r w:rsidRPr="00E235B1">
        <w:rPr>
          <w:rFonts w:ascii="Arial" w:eastAsia="Calibri" w:hAnsi="Arial" w:cs="Arial"/>
          <w:sz w:val="20"/>
          <w:szCs w:val="20"/>
          <w:lang w:val="en-GB" w:eastAsia="en-US"/>
        </w:rPr>
        <w:t>This position may be required to take on other responsibilities, commensurate with the expectations of a role at this level, which contribute to the overall objectives of the work unit</w:t>
      </w:r>
      <w:r>
        <w:rPr>
          <w:rFonts w:ascii="Arial" w:eastAsia="Calibri" w:hAnsi="Arial" w:cs="Arial"/>
          <w:sz w:val="20"/>
          <w:szCs w:val="20"/>
          <w:lang w:val="en-GB" w:eastAsia="en-US"/>
        </w:rPr>
        <w:t>.</w:t>
      </w:r>
    </w:p>
    <w:p w14:paraId="17BA6015" w14:textId="77777777" w:rsidR="00E235B1" w:rsidRPr="00E235B1" w:rsidRDefault="00E235B1" w:rsidP="00E235B1">
      <w:pPr>
        <w:pStyle w:val="elementtoproof"/>
        <w:shd w:val="clear" w:color="auto" w:fill="FFFFFF"/>
        <w:tabs>
          <w:tab w:val="left" w:pos="709"/>
        </w:tabs>
        <w:ind w:left="709" w:right="-46"/>
        <w:rPr>
          <w:rFonts w:ascii="Arial" w:eastAsia="Calibri" w:hAnsi="Arial" w:cs="Arial"/>
          <w:sz w:val="20"/>
          <w:szCs w:val="20"/>
          <w:lang w:val="en-GB" w:eastAsia="en-US"/>
        </w:rPr>
      </w:pPr>
    </w:p>
    <w:p w14:paraId="7F6FC2A9"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sz w:val="20"/>
          <w:szCs w:val="20"/>
        </w:rPr>
        <w:t>Ensure compliance with relevant legislation and University policies and procedures, including diversity and safety and model best practice.</w:t>
      </w:r>
    </w:p>
    <w:p w14:paraId="0CB52485" w14:textId="77777777" w:rsidR="00E235B1" w:rsidRPr="00E235B1" w:rsidRDefault="00E235B1" w:rsidP="00E235B1">
      <w:pPr>
        <w:pStyle w:val="ListParagraph"/>
        <w:tabs>
          <w:tab w:val="left" w:pos="709"/>
        </w:tabs>
        <w:ind w:left="709" w:right="-46"/>
        <w:rPr>
          <w:rFonts w:ascii="Arial" w:hAnsi="Arial" w:cs="Arial"/>
          <w:sz w:val="20"/>
          <w:szCs w:val="20"/>
        </w:rPr>
      </w:pPr>
    </w:p>
    <w:p w14:paraId="7D8BC880" w14:textId="77777777" w:rsidR="00E235B1" w:rsidRDefault="00E235B1" w:rsidP="00E235B1">
      <w:pPr>
        <w:pStyle w:val="ListParagraph"/>
        <w:numPr>
          <w:ilvl w:val="2"/>
          <w:numId w:val="5"/>
        </w:numPr>
        <w:tabs>
          <w:tab w:val="left" w:pos="709"/>
        </w:tabs>
        <w:ind w:left="709" w:right="-46" w:hanging="283"/>
        <w:rPr>
          <w:rFonts w:ascii="Arial" w:hAnsi="Arial" w:cs="Arial"/>
          <w:sz w:val="20"/>
          <w:szCs w:val="20"/>
        </w:rPr>
      </w:pPr>
      <w:r w:rsidRPr="00E235B1">
        <w:rPr>
          <w:rFonts w:ascii="Arial" w:hAnsi="Arial" w:cs="Arial"/>
          <w:sz w:val="20"/>
          <w:szCs w:val="20"/>
        </w:rPr>
        <w:t xml:space="preserve">Be a leading example of the principles and values embodied in the University’s Code of Conduct, and behave, act and </w:t>
      </w:r>
      <w:proofErr w:type="gramStart"/>
      <w:r w:rsidRPr="00E235B1">
        <w:rPr>
          <w:rFonts w:ascii="Arial" w:hAnsi="Arial" w:cs="Arial"/>
          <w:sz w:val="20"/>
          <w:szCs w:val="20"/>
        </w:rPr>
        <w:t>communicate at all times</w:t>
      </w:r>
      <w:proofErr w:type="gramEnd"/>
      <w:r w:rsidRPr="00E235B1">
        <w:rPr>
          <w:rFonts w:ascii="Arial" w:hAnsi="Arial" w:cs="Arial"/>
          <w:sz w:val="20"/>
          <w:szCs w:val="20"/>
        </w:rPr>
        <w:t xml:space="preserve"> to reflect fairness, ethics and professionalism.</w:t>
      </w:r>
    </w:p>
    <w:p w14:paraId="6E6C0417" w14:textId="77777777" w:rsidR="00E235B1" w:rsidRPr="00E235B1" w:rsidRDefault="00E235B1" w:rsidP="00E235B1">
      <w:pPr>
        <w:pStyle w:val="ListParagraph"/>
        <w:rPr>
          <w:rFonts w:ascii="Arial" w:hAnsi="Arial" w:cs="Arial"/>
          <w:sz w:val="20"/>
          <w:szCs w:val="20"/>
        </w:rPr>
      </w:pPr>
    </w:p>
    <w:p w14:paraId="250FE90B" w14:textId="77777777" w:rsidR="00E235B1" w:rsidRPr="00E235B1" w:rsidRDefault="00E235B1" w:rsidP="00E235B1">
      <w:pPr>
        <w:tabs>
          <w:tab w:val="left" w:pos="709"/>
        </w:tabs>
        <w:ind w:right="-46"/>
        <w:rPr>
          <w:rFonts w:ascii="Arial" w:hAnsi="Arial" w:cs="Arial"/>
          <w:sz w:val="20"/>
          <w:szCs w:val="20"/>
        </w:rPr>
      </w:pPr>
    </w:p>
    <w:p w14:paraId="7697C11F" w14:textId="77777777" w:rsidR="00E235B1" w:rsidRDefault="00E235B1" w:rsidP="00E235B1">
      <w:pPr>
        <w:pStyle w:val="BodyText"/>
        <w:tabs>
          <w:tab w:val="left" w:pos="426"/>
          <w:tab w:val="left" w:pos="1240"/>
        </w:tabs>
        <w:ind w:left="426" w:right="-46"/>
        <w:rPr>
          <w:color w:val="E10816"/>
          <w:spacing w:val="-2"/>
        </w:rPr>
      </w:pPr>
      <w:bookmarkStart w:id="2" w:name="4.0_Key_Capabilities"/>
      <w:bookmarkEnd w:id="2"/>
      <w:r w:rsidRPr="00E235B1">
        <w:rPr>
          <w:color w:val="E10816"/>
        </w:rPr>
        <w:t xml:space="preserve">Key </w:t>
      </w:r>
      <w:r w:rsidRPr="00E235B1">
        <w:rPr>
          <w:color w:val="E10816"/>
          <w:spacing w:val="-2"/>
        </w:rPr>
        <w:t>Capabilities</w:t>
      </w:r>
    </w:p>
    <w:p w14:paraId="05EA5ACF" w14:textId="77777777" w:rsidR="00E235B1" w:rsidRPr="00E235B1" w:rsidRDefault="00E235B1" w:rsidP="00E235B1">
      <w:pPr>
        <w:pStyle w:val="BodyText"/>
        <w:tabs>
          <w:tab w:val="left" w:pos="426"/>
          <w:tab w:val="left" w:pos="1240"/>
        </w:tabs>
        <w:ind w:left="426" w:right="-46"/>
        <w:rPr>
          <w:color w:val="E10816"/>
          <w:spacing w:val="-2"/>
        </w:rPr>
      </w:pPr>
    </w:p>
    <w:p w14:paraId="36D8AE62" w14:textId="77777777" w:rsidR="00E235B1" w:rsidRDefault="00E235B1" w:rsidP="00E235B1">
      <w:pPr>
        <w:pStyle w:val="BodyText"/>
        <w:tabs>
          <w:tab w:val="left" w:pos="426"/>
          <w:tab w:val="left" w:pos="1240"/>
        </w:tabs>
        <w:ind w:left="426" w:right="-46"/>
        <w:rPr>
          <w:b/>
          <w:bCs/>
        </w:rPr>
      </w:pPr>
      <w:r w:rsidRPr="00E235B1">
        <w:rPr>
          <w:b/>
          <w:bCs/>
        </w:rPr>
        <w:t xml:space="preserve">Service Centric </w:t>
      </w:r>
    </w:p>
    <w:p w14:paraId="12A5CE39" w14:textId="77777777" w:rsidR="00E235B1" w:rsidRPr="00E235B1" w:rsidRDefault="00E235B1" w:rsidP="00E235B1">
      <w:pPr>
        <w:pStyle w:val="BodyText"/>
        <w:tabs>
          <w:tab w:val="left" w:pos="426"/>
          <w:tab w:val="left" w:pos="1240"/>
        </w:tabs>
        <w:ind w:left="426" w:right="-46"/>
        <w:rPr>
          <w:b/>
          <w:bCs/>
        </w:rPr>
      </w:pPr>
    </w:p>
    <w:p w14:paraId="31A6C3A3" w14:textId="77777777" w:rsidR="00E235B1" w:rsidRDefault="00E235B1" w:rsidP="00E235B1">
      <w:pPr>
        <w:pStyle w:val="BodyText"/>
        <w:numPr>
          <w:ilvl w:val="0"/>
          <w:numId w:val="11"/>
        </w:numPr>
        <w:tabs>
          <w:tab w:val="left" w:pos="426"/>
          <w:tab w:val="left" w:pos="1240"/>
        </w:tabs>
        <w:ind w:right="-46"/>
      </w:pPr>
      <w:r w:rsidRPr="00E235B1">
        <w:t xml:space="preserve">Collaborates with clients to deliver accessible, fit-for-purpose HR solutions and adapts to changing needs. </w:t>
      </w:r>
    </w:p>
    <w:p w14:paraId="39240FDF" w14:textId="77777777" w:rsidR="00E235B1" w:rsidRPr="00E235B1" w:rsidRDefault="00E235B1" w:rsidP="00E235B1">
      <w:pPr>
        <w:pStyle w:val="BodyText"/>
        <w:tabs>
          <w:tab w:val="left" w:pos="426"/>
          <w:tab w:val="left" w:pos="1240"/>
        </w:tabs>
        <w:ind w:left="1146" w:right="-46"/>
      </w:pPr>
    </w:p>
    <w:p w14:paraId="65AC1C7A" w14:textId="77777777" w:rsidR="00E235B1" w:rsidRPr="00E235B1" w:rsidRDefault="00E235B1" w:rsidP="00E235B1">
      <w:pPr>
        <w:pStyle w:val="BodyText"/>
        <w:tabs>
          <w:tab w:val="left" w:pos="426"/>
          <w:tab w:val="left" w:pos="1240"/>
        </w:tabs>
        <w:ind w:left="426" w:right="-46"/>
        <w:rPr>
          <w:b/>
          <w:bCs/>
        </w:rPr>
      </w:pPr>
      <w:r w:rsidRPr="00E235B1">
        <w:rPr>
          <w:b/>
          <w:bCs/>
        </w:rPr>
        <w:t xml:space="preserve">Collaborative and Inclusive: </w:t>
      </w:r>
    </w:p>
    <w:p w14:paraId="16CD737A" w14:textId="77777777" w:rsidR="00E235B1" w:rsidRDefault="00E235B1" w:rsidP="00E235B1">
      <w:pPr>
        <w:pStyle w:val="BodyText"/>
        <w:numPr>
          <w:ilvl w:val="0"/>
          <w:numId w:val="11"/>
        </w:numPr>
        <w:tabs>
          <w:tab w:val="left" w:pos="426"/>
          <w:tab w:val="left" w:pos="1240"/>
        </w:tabs>
        <w:ind w:right="-46"/>
      </w:pPr>
      <w:r w:rsidRPr="00E235B1">
        <w:t xml:space="preserve">Builds high-performing partnerships and teams, commits to diversity and inclusion. </w:t>
      </w:r>
    </w:p>
    <w:p w14:paraId="03AE17F2" w14:textId="77777777" w:rsidR="00E235B1" w:rsidRPr="00E235B1" w:rsidRDefault="00E235B1" w:rsidP="00E235B1">
      <w:pPr>
        <w:pStyle w:val="BodyText"/>
        <w:tabs>
          <w:tab w:val="left" w:pos="426"/>
          <w:tab w:val="left" w:pos="1240"/>
        </w:tabs>
        <w:ind w:left="1146" w:right="-46"/>
      </w:pPr>
    </w:p>
    <w:p w14:paraId="62D3CC29" w14:textId="77777777" w:rsidR="00E235B1" w:rsidRPr="00E235B1" w:rsidRDefault="00E235B1" w:rsidP="00E235B1">
      <w:pPr>
        <w:pStyle w:val="BodyText"/>
        <w:tabs>
          <w:tab w:val="left" w:pos="426"/>
          <w:tab w:val="left" w:pos="1240"/>
        </w:tabs>
        <w:ind w:left="426" w:right="-46"/>
        <w:rPr>
          <w:b/>
          <w:bCs/>
        </w:rPr>
      </w:pPr>
      <w:r w:rsidRPr="00E235B1">
        <w:rPr>
          <w:b/>
          <w:bCs/>
        </w:rPr>
        <w:t xml:space="preserve">Innovative and Enterprising: </w:t>
      </w:r>
    </w:p>
    <w:p w14:paraId="724C2D9D" w14:textId="77777777" w:rsidR="00E235B1" w:rsidRDefault="00E235B1" w:rsidP="00E235B1">
      <w:pPr>
        <w:pStyle w:val="BodyText"/>
        <w:numPr>
          <w:ilvl w:val="0"/>
          <w:numId w:val="11"/>
        </w:numPr>
        <w:tabs>
          <w:tab w:val="left" w:pos="426"/>
          <w:tab w:val="left" w:pos="1240"/>
        </w:tabs>
        <w:ind w:right="-46"/>
      </w:pPr>
      <w:r w:rsidRPr="00E235B1">
        <w:t xml:space="preserve">Continuously develops self and others, has a growth mindset. </w:t>
      </w:r>
    </w:p>
    <w:p w14:paraId="4E903DC8" w14:textId="77777777" w:rsidR="00E235B1" w:rsidRPr="00E235B1" w:rsidRDefault="00E235B1" w:rsidP="00E235B1">
      <w:pPr>
        <w:pStyle w:val="BodyText"/>
        <w:tabs>
          <w:tab w:val="left" w:pos="426"/>
          <w:tab w:val="left" w:pos="1240"/>
        </w:tabs>
        <w:ind w:left="1146" w:right="-46"/>
      </w:pPr>
    </w:p>
    <w:p w14:paraId="6F7ECF60" w14:textId="77777777" w:rsidR="00E235B1" w:rsidRPr="00E235B1" w:rsidRDefault="00E235B1" w:rsidP="00E235B1">
      <w:pPr>
        <w:pStyle w:val="BodyText"/>
        <w:tabs>
          <w:tab w:val="left" w:pos="426"/>
          <w:tab w:val="left" w:pos="1240"/>
        </w:tabs>
        <w:ind w:left="426" w:right="-46"/>
        <w:rPr>
          <w:b/>
          <w:bCs/>
        </w:rPr>
      </w:pPr>
      <w:r w:rsidRPr="00E235B1">
        <w:rPr>
          <w:b/>
          <w:bCs/>
        </w:rPr>
        <w:t xml:space="preserve">Digital and Data Enabled: </w:t>
      </w:r>
    </w:p>
    <w:p w14:paraId="6EE69314" w14:textId="77777777" w:rsidR="00E235B1" w:rsidRPr="00E235B1" w:rsidRDefault="00E235B1" w:rsidP="00E235B1">
      <w:pPr>
        <w:pStyle w:val="BodyText"/>
        <w:numPr>
          <w:ilvl w:val="0"/>
          <w:numId w:val="11"/>
        </w:numPr>
        <w:tabs>
          <w:tab w:val="left" w:pos="426"/>
          <w:tab w:val="left" w:pos="1240"/>
        </w:tabs>
        <w:ind w:right="1494"/>
      </w:pPr>
      <w:r w:rsidRPr="00E235B1">
        <w:t xml:space="preserve">Harnesses digital technology, makes data-driven decisions. </w:t>
      </w:r>
    </w:p>
    <w:p w14:paraId="02BE98D9" w14:textId="77777777" w:rsidR="00E235B1" w:rsidRDefault="00E235B1" w:rsidP="00E235B1">
      <w:pPr>
        <w:pStyle w:val="BodyText"/>
        <w:tabs>
          <w:tab w:val="left" w:pos="426"/>
          <w:tab w:val="left" w:pos="1240"/>
        </w:tabs>
        <w:ind w:left="426" w:right="1494"/>
        <w:rPr>
          <w:b/>
          <w:bCs/>
        </w:rPr>
      </w:pPr>
    </w:p>
    <w:p w14:paraId="1EA55430" w14:textId="0E9EF235" w:rsidR="00E235B1" w:rsidRPr="00E235B1" w:rsidRDefault="00E235B1" w:rsidP="00E235B1">
      <w:pPr>
        <w:pStyle w:val="BodyText"/>
        <w:tabs>
          <w:tab w:val="left" w:pos="426"/>
          <w:tab w:val="left" w:pos="1240"/>
        </w:tabs>
        <w:ind w:left="426" w:right="1494"/>
        <w:rPr>
          <w:b/>
          <w:bCs/>
        </w:rPr>
      </w:pPr>
      <w:r w:rsidRPr="00E235B1">
        <w:rPr>
          <w:b/>
          <w:bCs/>
        </w:rPr>
        <w:t>Strategic and Commercial Acumen:</w:t>
      </w:r>
    </w:p>
    <w:p w14:paraId="479B7AE5" w14:textId="77777777" w:rsidR="00E235B1" w:rsidRDefault="00E235B1" w:rsidP="00E235B1">
      <w:pPr>
        <w:pStyle w:val="BodyText"/>
        <w:numPr>
          <w:ilvl w:val="0"/>
          <w:numId w:val="11"/>
        </w:numPr>
        <w:tabs>
          <w:tab w:val="left" w:pos="426"/>
          <w:tab w:val="left" w:pos="1240"/>
        </w:tabs>
        <w:ind w:right="1494"/>
      </w:pPr>
      <w:r w:rsidRPr="00E235B1">
        <w:t xml:space="preserve">Achieves strategic results, ensures value for money. </w:t>
      </w:r>
    </w:p>
    <w:p w14:paraId="64B36E9D" w14:textId="77777777" w:rsidR="00E235B1" w:rsidRPr="00E235B1" w:rsidRDefault="00E235B1" w:rsidP="00E235B1">
      <w:pPr>
        <w:pStyle w:val="BodyText"/>
        <w:tabs>
          <w:tab w:val="left" w:pos="426"/>
          <w:tab w:val="left" w:pos="1240"/>
        </w:tabs>
        <w:ind w:left="1146" w:right="1494"/>
      </w:pPr>
    </w:p>
    <w:p w14:paraId="32C68BA4" w14:textId="3F311C2B" w:rsidR="00E235B1" w:rsidRPr="00E235B1" w:rsidRDefault="00E235B1" w:rsidP="00E235B1">
      <w:pPr>
        <w:pStyle w:val="BodyText"/>
        <w:tabs>
          <w:tab w:val="left" w:pos="426"/>
          <w:tab w:val="left" w:pos="1240"/>
        </w:tabs>
        <w:ind w:left="426" w:right="1494"/>
        <w:rPr>
          <w:b/>
          <w:bCs/>
        </w:rPr>
      </w:pPr>
      <w:r w:rsidRPr="00E235B1">
        <w:rPr>
          <w:b/>
          <w:bCs/>
        </w:rPr>
        <w:t>Adaptable and Resilient:</w:t>
      </w:r>
    </w:p>
    <w:p w14:paraId="05E7F45D" w14:textId="77777777" w:rsidR="00E235B1" w:rsidRPr="00E235B1" w:rsidRDefault="00E235B1" w:rsidP="00E235B1">
      <w:pPr>
        <w:pStyle w:val="BodyText"/>
        <w:numPr>
          <w:ilvl w:val="0"/>
          <w:numId w:val="11"/>
        </w:numPr>
        <w:tabs>
          <w:tab w:val="left" w:pos="426"/>
          <w:tab w:val="left" w:pos="1240"/>
        </w:tabs>
        <w:ind w:right="1494"/>
      </w:pPr>
      <w:r w:rsidRPr="00E235B1">
        <w:t>Embraces openness, supports self and others during change.</w:t>
      </w:r>
    </w:p>
    <w:p w14:paraId="2E9648D6" w14:textId="77777777" w:rsidR="00E235B1" w:rsidRPr="00E235B1" w:rsidRDefault="00E235B1" w:rsidP="00E235B1">
      <w:pPr>
        <w:pStyle w:val="BodyText"/>
        <w:tabs>
          <w:tab w:val="left" w:pos="426"/>
        </w:tabs>
        <w:ind w:left="426" w:right="1494"/>
      </w:pPr>
    </w:p>
    <w:p w14:paraId="5675044B" w14:textId="77777777" w:rsidR="00E235B1" w:rsidRPr="00E235B1" w:rsidRDefault="00E235B1" w:rsidP="00E235B1">
      <w:pPr>
        <w:pStyle w:val="BodyText"/>
        <w:tabs>
          <w:tab w:val="left" w:pos="426"/>
        </w:tabs>
        <w:ind w:left="426" w:right="1494"/>
      </w:pPr>
    </w:p>
    <w:p w14:paraId="6232A72E" w14:textId="77777777" w:rsidR="00E235B1" w:rsidRPr="00E235B1" w:rsidRDefault="00E235B1" w:rsidP="00E235B1">
      <w:pPr>
        <w:pStyle w:val="BodyText"/>
        <w:tabs>
          <w:tab w:val="left" w:pos="426"/>
        </w:tabs>
        <w:ind w:left="426" w:right="1494"/>
      </w:pPr>
    </w:p>
    <w:p w14:paraId="4C448C2B" w14:textId="77777777" w:rsidR="00E235B1" w:rsidRPr="00E235B1" w:rsidRDefault="00E235B1" w:rsidP="00E235B1">
      <w:pPr>
        <w:pStyle w:val="BodyText"/>
        <w:tabs>
          <w:tab w:val="left" w:pos="426"/>
        </w:tabs>
        <w:ind w:left="426" w:right="95"/>
      </w:pPr>
    </w:p>
    <w:p w14:paraId="7CC21C24" w14:textId="77777777" w:rsidR="00E235B1" w:rsidRPr="00E235B1" w:rsidRDefault="00E235B1" w:rsidP="00E235B1">
      <w:pPr>
        <w:pStyle w:val="BodyText"/>
        <w:tabs>
          <w:tab w:val="left" w:pos="426"/>
        </w:tabs>
        <w:ind w:left="426" w:right="95"/>
      </w:pPr>
      <w:r w:rsidRPr="00E235B1">
        <w:t>Griffith University identifies the attributes of resilience, flexibility, creativity, digital literacy and entrepreneurship as critical to our</w:t>
      </w:r>
      <w:r w:rsidRPr="00E235B1">
        <w:rPr>
          <w:spacing w:val="-1"/>
        </w:rPr>
        <w:t xml:space="preserve"> </w:t>
      </w:r>
      <w:r w:rsidRPr="00E235B1">
        <w:t>graduates’ success, in the rapidly</w:t>
      </w:r>
      <w:r w:rsidRPr="00E235B1">
        <w:rPr>
          <w:spacing w:val="-3"/>
        </w:rPr>
        <w:t xml:space="preserve"> </w:t>
      </w:r>
      <w:r w:rsidRPr="00E235B1">
        <w:t>changing</w:t>
      </w:r>
      <w:r w:rsidRPr="00E235B1">
        <w:rPr>
          <w:spacing w:val="-2"/>
        </w:rPr>
        <w:t xml:space="preserve"> </w:t>
      </w:r>
      <w:r w:rsidRPr="00E235B1">
        <w:t>future</w:t>
      </w:r>
      <w:r w:rsidRPr="00E235B1">
        <w:rPr>
          <w:spacing w:val="-3"/>
        </w:rPr>
        <w:t xml:space="preserve"> </w:t>
      </w:r>
      <w:r w:rsidRPr="00E235B1">
        <w:t>world</w:t>
      </w:r>
      <w:r w:rsidRPr="00E235B1">
        <w:rPr>
          <w:spacing w:val="-4"/>
        </w:rPr>
        <w:t xml:space="preserve"> </w:t>
      </w:r>
      <w:r w:rsidRPr="00E235B1">
        <w:t>of</w:t>
      </w:r>
      <w:r w:rsidRPr="00E235B1">
        <w:rPr>
          <w:spacing w:val="-5"/>
        </w:rPr>
        <w:t xml:space="preserve"> </w:t>
      </w:r>
      <w:r w:rsidRPr="00E235B1">
        <w:t>work.</w:t>
      </w:r>
      <w:r w:rsidRPr="00E235B1">
        <w:rPr>
          <w:spacing w:val="-3"/>
        </w:rPr>
        <w:t xml:space="preserve"> </w:t>
      </w:r>
      <w:r w:rsidRPr="00E235B1">
        <w:t>We</w:t>
      </w:r>
      <w:r w:rsidRPr="00E235B1">
        <w:rPr>
          <w:spacing w:val="-3"/>
        </w:rPr>
        <w:t xml:space="preserve"> </w:t>
      </w:r>
      <w:r w:rsidRPr="00E235B1">
        <w:t>have</w:t>
      </w:r>
      <w:r w:rsidRPr="00E235B1">
        <w:rPr>
          <w:spacing w:val="-3"/>
        </w:rPr>
        <w:t xml:space="preserve"> </w:t>
      </w:r>
      <w:r w:rsidRPr="00E235B1">
        <w:t>established</w:t>
      </w:r>
      <w:r w:rsidRPr="00E235B1">
        <w:rPr>
          <w:spacing w:val="-3"/>
        </w:rPr>
        <w:t xml:space="preserve"> </w:t>
      </w:r>
      <w:r w:rsidRPr="00E235B1">
        <w:t>a</w:t>
      </w:r>
      <w:r w:rsidRPr="00E235B1">
        <w:rPr>
          <w:spacing w:val="-4"/>
        </w:rPr>
        <w:t xml:space="preserve"> </w:t>
      </w:r>
      <w:r w:rsidRPr="00E235B1">
        <w:t>Griffith</w:t>
      </w:r>
      <w:r w:rsidRPr="00E235B1">
        <w:rPr>
          <w:spacing w:val="-4"/>
        </w:rPr>
        <w:t xml:space="preserve"> </w:t>
      </w:r>
      <w:r w:rsidRPr="00E235B1">
        <w:t>University Capability Development Framework to provide a common language of some of the</w:t>
      </w:r>
      <w:r w:rsidRPr="00E235B1">
        <w:rPr>
          <w:spacing w:val="-8"/>
        </w:rPr>
        <w:t xml:space="preserve"> </w:t>
      </w:r>
      <w:r w:rsidRPr="00E235B1">
        <w:t>non-technical</w:t>
      </w:r>
      <w:r w:rsidRPr="00E235B1">
        <w:rPr>
          <w:spacing w:val="-8"/>
        </w:rPr>
        <w:t xml:space="preserve"> </w:t>
      </w:r>
      <w:r w:rsidRPr="00E235B1">
        <w:t>organisation</w:t>
      </w:r>
      <w:r w:rsidRPr="00E235B1">
        <w:rPr>
          <w:spacing w:val="-8"/>
        </w:rPr>
        <w:t xml:space="preserve"> </w:t>
      </w:r>
      <w:r w:rsidRPr="00E235B1">
        <w:t>skills</w:t>
      </w:r>
      <w:r w:rsidRPr="00E235B1">
        <w:rPr>
          <w:spacing w:val="-8"/>
        </w:rPr>
        <w:t xml:space="preserve"> </w:t>
      </w:r>
      <w:r w:rsidRPr="00E235B1">
        <w:t>that</w:t>
      </w:r>
      <w:r w:rsidRPr="00E235B1">
        <w:rPr>
          <w:spacing w:val="-6"/>
        </w:rPr>
        <w:t xml:space="preserve"> </w:t>
      </w:r>
      <w:r w:rsidRPr="00E235B1">
        <w:t>will</w:t>
      </w:r>
      <w:r w:rsidRPr="00E235B1">
        <w:rPr>
          <w:spacing w:val="-8"/>
        </w:rPr>
        <w:t xml:space="preserve"> </w:t>
      </w:r>
      <w:r w:rsidRPr="00E235B1">
        <w:t>support</w:t>
      </w:r>
      <w:r w:rsidRPr="00E235B1">
        <w:rPr>
          <w:spacing w:val="-6"/>
        </w:rPr>
        <w:t xml:space="preserve"> </w:t>
      </w:r>
      <w:r w:rsidRPr="00E235B1">
        <w:t>our</w:t>
      </w:r>
      <w:r w:rsidRPr="00E235B1">
        <w:rPr>
          <w:spacing w:val="-5"/>
        </w:rPr>
        <w:t xml:space="preserve"> </w:t>
      </w:r>
      <w:r w:rsidRPr="00E235B1">
        <w:t>staff</w:t>
      </w:r>
      <w:r w:rsidRPr="00E235B1">
        <w:rPr>
          <w:spacing w:val="-9"/>
        </w:rPr>
        <w:t xml:space="preserve"> </w:t>
      </w:r>
      <w:r w:rsidRPr="00E235B1">
        <w:t>to</w:t>
      </w:r>
      <w:r w:rsidRPr="00E235B1">
        <w:rPr>
          <w:spacing w:val="-8"/>
        </w:rPr>
        <w:t xml:space="preserve"> </w:t>
      </w:r>
      <w:r w:rsidRPr="00E235B1">
        <w:t>thrive</w:t>
      </w:r>
      <w:r w:rsidRPr="00E235B1">
        <w:rPr>
          <w:spacing w:val="-7"/>
        </w:rPr>
        <w:t xml:space="preserve"> </w:t>
      </w:r>
      <w:r w:rsidRPr="00E235B1">
        <w:t>now</w:t>
      </w:r>
      <w:r w:rsidRPr="00E235B1">
        <w:rPr>
          <w:spacing w:val="-9"/>
        </w:rPr>
        <w:t xml:space="preserve"> </w:t>
      </w:r>
      <w:r w:rsidRPr="00E235B1">
        <w:t>and into the future. The Capability Development Framework will assist you to understand</w:t>
      </w:r>
      <w:r w:rsidRPr="00E235B1">
        <w:rPr>
          <w:spacing w:val="-7"/>
        </w:rPr>
        <w:t xml:space="preserve"> </w:t>
      </w:r>
      <w:r w:rsidRPr="00E235B1">
        <w:t>the</w:t>
      </w:r>
      <w:r w:rsidRPr="00E235B1">
        <w:rPr>
          <w:spacing w:val="-7"/>
        </w:rPr>
        <w:t xml:space="preserve"> </w:t>
      </w:r>
      <w:r w:rsidRPr="00E235B1">
        <w:t>current</w:t>
      </w:r>
      <w:r w:rsidRPr="00E235B1">
        <w:rPr>
          <w:spacing w:val="-5"/>
        </w:rPr>
        <w:t xml:space="preserve"> </w:t>
      </w:r>
      <w:r w:rsidRPr="00E235B1">
        <w:t>skill</w:t>
      </w:r>
      <w:r w:rsidRPr="00E235B1">
        <w:rPr>
          <w:spacing w:val="-7"/>
        </w:rPr>
        <w:t xml:space="preserve"> </w:t>
      </w:r>
      <w:r w:rsidRPr="00E235B1">
        <w:t>level</w:t>
      </w:r>
      <w:r w:rsidRPr="00E235B1">
        <w:rPr>
          <w:spacing w:val="-7"/>
        </w:rPr>
        <w:t xml:space="preserve"> </w:t>
      </w:r>
      <w:r w:rsidRPr="00E235B1">
        <w:t>of</w:t>
      </w:r>
      <w:r w:rsidRPr="00E235B1">
        <w:rPr>
          <w:spacing w:val="-8"/>
        </w:rPr>
        <w:t xml:space="preserve"> </w:t>
      </w:r>
      <w:r w:rsidRPr="00E235B1">
        <w:t>this</w:t>
      </w:r>
      <w:r w:rsidRPr="00E235B1">
        <w:rPr>
          <w:spacing w:val="-2"/>
        </w:rPr>
        <w:t xml:space="preserve"> </w:t>
      </w:r>
      <w:r w:rsidRPr="00E235B1">
        <w:t>position</w:t>
      </w:r>
      <w:r w:rsidRPr="00E235B1">
        <w:rPr>
          <w:spacing w:val="-7"/>
        </w:rPr>
        <w:t xml:space="preserve"> </w:t>
      </w:r>
      <w:r w:rsidRPr="00E235B1">
        <w:t>in</w:t>
      </w:r>
      <w:r w:rsidRPr="00E235B1">
        <w:rPr>
          <w:spacing w:val="-2"/>
        </w:rPr>
        <w:t xml:space="preserve"> </w:t>
      </w:r>
      <w:r w:rsidRPr="00E235B1">
        <w:t>the</w:t>
      </w:r>
      <w:r w:rsidRPr="00E235B1">
        <w:rPr>
          <w:spacing w:val="-7"/>
        </w:rPr>
        <w:t xml:space="preserve"> </w:t>
      </w:r>
      <w:r w:rsidRPr="00E235B1">
        <w:t>non-technical</w:t>
      </w:r>
      <w:r w:rsidRPr="00E235B1">
        <w:rPr>
          <w:spacing w:val="-7"/>
        </w:rPr>
        <w:t xml:space="preserve"> </w:t>
      </w:r>
      <w:r w:rsidRPr="00E235B1">
        <w:t>but</w:t>
      </w:r>
      <w:r w:rsidRPr="00E235B1">
        <w:rPr>
          <w:spacing w:val="-5"/>
        </w:rPr>
        <w:t xml:space="preserve"> </w:t>
      </w:r>
      <w:r w:rsidRPr="00E235B1">
        <w:t>critical skill domains that are increasingly important in a changing workplace context.</w:t>
      </w:r>
    </w:p>
    <w:p w14:paraId="3DBE9F11" w14:textId="77777777" w:rsidR="00E235B1" w:rsidRPr="00E235B1" w:rsidRDefault="00E235B1" w:rsidP="00E235B1">
      <w:pPr>
        <w:pStyle w:val="BodyText"/>
        <w:tabs>
          <w:tab w:val="left" w:pos="426"/>
        </w:tabs>
        <w:ind w:left="426" w:right="95"/>
      </w:pPr>
    </w:p>
    <w:p w14:paraId="54E9311B" w14:textId="77777777" w:rsidR="00E235B1" w:rsidRPr="00E235B1" w:rsidRDefault="00E235B1" w:rsidP="00E235B1">
      <w:pPr>
        <w:pStyle w:val="BodyText"/>
        <w:tabs>
          <w:tab w:val="left" w:pos="426"/>
        </w:tabs>
        <w:ind w:left="426" w:right="95"/>
      </w:pPr>
      <w:r w:rsidRPr="00E235B1">
        <w:t xml:space="preserve">To read about some of the non-technical organisation skills for this position, please see the Leads Self section of our </w:t>
      </w:r>
      <w:hyperlink r:id="rId11" w:anchor="framework">
        <w:r w:rsidRPr="00E235B1">
          <w:rPr>
            <w:color w:val="1154CC"/>
            <w:u w:val="single" w:color="1154CC"/>
          </w:rPr>
          <w:t>Capability Development Framework.</w:t>
        </w:r>
      </w:hyperlink>
    </w:p>
    <w:p w14:paraId="58C7F075" w14:textId="77777777" w:rsidR="00A96E88" w:rsidRPr="00E235B1" w:rsidRDefault="00A96E88" w:rsidP="00E449D4">
      <w:pPr>
        <w:rPr>
          <w:rFonts w:ascii="Arial" w:hAnsi="Arial" w:cs="Arial"/>
          <w:b/>
          <w:sz w:val="20"/>
          <w:szCs w:val="20"/>
        </w:rPr>
      </w:pPr>
    </w:p>
    <w:sectPr w:rsidR="00A96E88" w:rsidRPr="00E235B1" w:rsidSect="00084ED6">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75FC" w14:textId="77777777" w:rsidR="000C24F6" w:rsidRDefault="000C24F6" w:rsidP="00E449D4">
      <w:r>
        <w:separator/>
      </w:r>
    </w:p>
  </w:endnote>
  <w:endnote w:type="continuationSeparator" w:id="0">
    <w:p w14:paraId="2D82B2E2" w14:textId="77777777" w:rsidR="000C24F6" w:rsidRDefault="000C24F6" w:rsidP="00E449D4">
      <w:r>
        <w:continuationSeparator/>
      </w:r>
    </w:p>
  </w:endnote>
  <w:endnote w:type="continuationNotice" w:id="1">
    <w:p w14:paraId="70F3B0E0" w14:textId="77777777" w:rsidR="000C24F6" w:rsidRDefault="000C2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A041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58241"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121EC" id="Group 6" o:spid="_x0000_s1026" style="position:absolute;margin-left:.4pt;margin-top:0;width:280.75pt;height:280.65pt;z-index:251658241;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D1DE" w14:textId="77777777" w:rsidR="000C24F6" w:rsidRDefault="000C24F6" w:rsidP="00E449D4">
      <w:r>
        <w:separator/>
      </w:r>
    </w:p>
  </w:footnote>
  <w:footnote w:type="continuationSeparator" w:id="0">
    <w:p w14:paraId="4B057323" w14:textId="77777777" w:rsidR="000C24F6" w:rsidRDefault="000C24F6" w:rsidP="00E449D4">
      <w:r>
        <w:continuationSeparator/>
      </w:r>
    </w:p>
  </w:footnote>
  <w:footnote w:type="continuationNotice" w:id="1">
    <w:p w14:paraId="5CEB7FCE" w14:textId="77777777" w:rsidR="000C24F6" w:rsidRDefault="000C2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5E0" w14:textId="381ED4D8" w:rsidR="00084ED6" w:rsidRDefault="00BD548D">
    <w:pPr>
      <w:pStyle w:val="Header"/>
    </w:pPr>
    <w:r w:rsidRPr="00084ED6">
      <w:rPr>
        <w:noProof/>
      </w:rPr>
      <mc:AlternateContent>
        <mc:Choice Requires="wps">
          <w:drawing>
            <wp:anchor distT="0" distB="0" distL="114300" distR="114300" simplePos="0" relativeHeight="251658244" behindDoc="0" locked="0" layoutInCell="1" allowOverlap="1" wp14:anchorId="126686A7" wp14:editId="7DB6407B">
              <wp:simplePos x="0" y="0"/>
              <wp:positionH relativeFrom="page">
                <wp:posOffset>4711700</wp:posOffset>
              </wp:positionH>
              <wp:positionV relativeFrom="paragraph">
                <wp:posOffset>-476885</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86A7" id="_x0000_t202" coordsize="21600,21600" o:spt="202" path="m,l,21600r21600,l21600,xe">
              <v:stroke joinstyle="miter"/>
              <v:path gradientshapeok="t" o:connecttype="rect"/>
            </v:shapetype>
            <v:shape id="Text Box 15" o:spid="_x0000_s1026" type="#_x0000_t202" style="position:absolute;margin-left:371pt;margin-top:-37.55pt;width:223.15pt;height:153.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" filled="f" stroked="f">
              <v:textbox inset="0,0,0,0">
                <w:txbxContent>
                  <w:p w14:paraId="6B6EFEE0" w14:textId="77777777" w:rsidR="00084ED6" w:rsidRPr="00E449D4" w:rsidRDefault="00084ED6" w:rsidP="00084ED6">
                    <w:pPr>
                      <w:ind w:left="1560"/>
                      <w:rPr>
                        <w:b/>
                        <w:sz w:val="16"/>
                        <w:szCs w:val="16"/>
                      </w:rPr>
                    </w:pPr>
                  </w:p>
                  <w:p w14:paraId="1C34C2AD"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F1D1E85" w14:textId="77777777" w:rsidR="00084ED6" w:rsidRPr="00E449D4" w:rsidRDefault="00084ED6" w:rsidP="00084ED6">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B28AC96" w14:textId="77777777" w:rsidR="00084ED6" w:rsidRPr="00E449D4" w:rsidRDefault="00084ED6" w:rsidP="00084ED6"/>
                </w:txbxContent>
              </v:textbox>
              <w10:wrap anchorx="page"/>
            </v:shape>
          </w:pict>
        </mc:Fallback>
      </mc:AlternateContent>
    </w:r>
    <w:r w:rsidRPr="00084ED6">
      <w:rPr>
        <w:noProof/>
      </w:rPr>
      <mc:AlternateContent>
        <mc:Choice Requires="wps">
          <w:drawing>
            <wp:anchor distT="0" distB="0" distL="114300" distR="114300" simplePos="0" relativeHeight="251658243" behindDoc="0" locked="0" layoutInCell="1" allowOverlap="1" wp14:anchorId="286AEA9B" wp14:editId="36C42D38">
              <wp:simplePos x="0" y="0"/>
              <wp:positionH relativeFrom="page">
                <wp:posOffset>4629150</wp:posOffset>
              </wp:positionH>
              <wp:positionV relativeFrom="page">
                <wp:posOffset>3810</wp:posOffset>
              </wp:positionV>
              <wp:extent cx="2921635" cy="192976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A531" id="Freeform: Shape 14" o:spid="_x0000_s1026" style="position:absolute;margin-left:364.5pt;margin-top:.3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" path="m4601,l,,3055,3039,4601,1501,4601,xe" fillcolor="#eb1d22" stroked="f">
              <v:path arrowok="t" o:connecttype="custom" o:connectlocs="2921635,8890;0,8890;1939925,1938655;2921635,962025;2921635,8890" o:connectangles="0,0,0,0,0"/>
              <w10:wrap anchorx="page" anchory="page"/>
            </v:shape>
          </w:pict>
        </mc:Fallback>
      </mc:AlternateContent>
    </w:r>
    <w:r w:rsidR="00084ED6" w:rsidRPr="00084ED6">
      <w:rPr>
        <w:noProof/>
      </w:rPr>
      <w:drawing>
        <wp:anchor distT="0" distB="0" distL="114300" distR="114300" simplePos="0" relativeHeight="251658242" behindDoc="1" locked="0" layoutInCell="1" allowOverlap="1" wp14:anchorId="4D6A2293" wp14:editId="319DA9B1">
          <wp:simplePos x="0" y="0"/>
          <wp:positionH relativeFrom="margin">
            <wp:posOffset>0</wp:posOffset>
          </wp:positionH>
          <wp:positionV relativeFrom="paragraph">
            <wp:posOffset>-87630</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DEE"/>
    <w:multiLevelType w:val="multilevel"/>
    <w:tmpl w:val="C0225A1E"/>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1A0D09EB"/>
    <w:multiLevelType w:val="hybridMultilevel"/>
    <w:tmpl w:val="795AD4C2"/>
    <w:lvl w:ilvl="0" w:tplc="93AE2618">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A743F"/>
    <w:multiLevelType w:val="hybridMultilevel"/>
    <w:tmpl w:val="83F28242"/>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3" w15:restartNumberingAfterBreak="0">
    <w:nsid w:val="2C4813F2"/>
    <w:multiLevelType w:val="hybridMultilevel"/>
    <w:tmpl w:val="D154211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7737C88"/>
    <w:multiLevelType w:val="hybridMultilevel"/>
    <w:tmpl w:val="6FE8B332"/>
    <w:lvl w:ilvl="0" w:tplc="F22ABBA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46492ECC"/>
    <w:multiLevelType w:val="multilevel"/>
    <w:tmpl w:val="35705D86"/>
    <w:lvl w:ilvl="0">
      <w:start w:val="3"/>
      <w:numFmt w:val="decimal"/>
      <w:lvlText w:val="%1"/>
      <w:lvlJc w:val="left"/>
      <w:pPr>
        <w:ind w:left="1241" w:hanging="721"/>
      </w:pPr>
      <w:rPr>
        <w:rFonts w:hint="default"/>
        <w:lang w:val="en-GB" w:eastAsia="en-US" w:bidi="ar-SA"/>
      </w:rPr>
    </w:lvl>
    <w:lvl w:ilvl="1">
      <w:numFmt w:val="decimal"/>
      <w:lvlText w:val="%1.%2"/>
      <w:lvlJc w:val="left"/>
      <w:pPr>
        <w:ind w:left="1241" w:hanging="721"/>
      </w:pPr>
      <w:rPr>
        <w:rFonts w:ascii="Calibri" w:eastAsia="Calibri" w:hAnsi="Calibri" w:cs="Calibri" w:hint="default"/>
        <w:b w:val="0"/>
        <w:bCs w:val="0"/>
        <w:i w:val="0"/>
        <w:iCs w:val="0"/>
        <w:color w:val="E10816"/>
        <w:spacing w:val="-2"/>
        <w:w w:val="100"/>
        <w:sz w:val="22"/>
        <w:szCs w:val="22"/>
        <w:lang w:val="en-GB" w:eastAsia="en-US" w:bidi="ar-SA"/>
      </w:rPr>
    </w:lvl>
    <w:lvl w:ilvl="2">
      <w:numFmt w:val="bullet"/>
      <w:lvlText w:val=""/>
      <w:lvlJc w:val="left"/>
      <w:pPr>
        <w:ind w:left="1561" w:hanging="360"/>
      </w:pPr>
      <w:rPr>
        <w:rFonts w:ascii="Wingdings" w:eastAsia="Wingdings" w:hAnsi="Wingdings" w:cs="Wingdings" w:hint="default"/>
        <w:b w:val="0"/>
        <w:bCs w:val="0"/>
        <w:i w:val="0"/>
        <w:iCs w:val="0"/>
        <w:color w:val="E10816"/>
        <w:w w:val="97"/>
        <w:sz w:val="20"/>
        <w:szCs w:val="20"/>
        <w:lang w:val="en-GB" w:eastAsia="en-US" w:bidi="ar-SA"/>
      </w:rPr>
    </w:lvl>
    <w:lvl w:ilvl="3">
      <w:numFmt w:val="bullet"/>
      <w:lvlText w:val="•"/>
      <w:lvlJc w:val="left"/>
      <w:pPr>
        <w:ind w:left="3623" w:hanging="360"/>
      </w:pPr>
      <w:rPr>
        <w:rFonts w:hint="default"/>
        <w:lang w:val="en-GB" w:eastAsia="en-US" w:bidi="ar-SA"/>
      </w:rPr>
    </w:lvl>
    <w:lvl w:ilvl="4">
      <w:numFmt w:val="bullet"/>
      <w:lvlText w:val="•"/>
      <w:lvlJc w:val="left"/>
      <w:pPr>
        <w:ind w:left="4655" w:hanging="360"/>
      </w:pPr>
      <w:rPr>
        <w:rFonts w:hint="default"/>
        <w:lang w:val="en-GB" w:eastAsia="en-US" w:bidi="ar-SA"/>
      </w:rPr>
    </w:lvl>
    <w:lvl w:ilvl="5">
      <w:numFmt w:val="bullet"/>
      <w:lvlText w:val="•"/>
      <w:lvlJc w:val="left"/>
      <w:pPr>
        <w:ind w:left="5686" w:hanging="360"/>
      </w:pPr>
      <w:rPr>
        <w:rFonts w:hint="default"/>
        <w:lang w:val="en-GB" w:eastAsia="en-US" w:bidi="ar-SA"/>
      </w:rPr>
    </w:lvl>
    <w:lvl w:ilvl="6">
      <w:numFmt w:val="bullet"/>
      <w:lvlText w:val="•"/>
      <w:lvlJc w:val="left"/>
      <w:pPr>
        <w:ind w:left="6718" w:hanging="360"/>
      </w:pPr>
      <w:rPr>
        <w:rFonts w:hint="default"/>
        <w:lang w:val="en-GB" w:eastAsia="en-US" w:bidi="ar-SA"/>
      </w:rPr>
    </w:lvl>
    <w:lvl w:ilvl="7">
      <w:numFmt w:val="bullet"/>
      <w:lvlText w:val="•"/>
      <w:lvlJc w:val="left"/>
      <w:pPr>
        <w:ind w:left="7750" w:hanging="360"/>
      </w:pPr>
      <w:rPr>
        <w:rFonts w:hint="default"/>
        <w:lang w:val="en-GB" w:eastAsia="en-US" w:bidi="ar-SA"/>
      </w:rPr>
    </w:lvl>
    <w:lvl w:ilvl="8">
      <w:numFmt w:val="bullet"/>
      <w:lvlText w:val="•"/>
      <w:lvlJc w:val="left"/>
      <w:pPr>
        <w:ind w:left="8781" w:hanging="360"/>
      </w:pPr>
      <w:rPr>
        <w:rFonts w:hint="default"/>
        <w:lang w:val="en-GB" w:eastAsia="en-US" w:bidi="ar-SA"/>
      </w:rPr>
    </w:lvl>
  </w:abstractNum>
  <w:abstractNum w:abstractNumId="7" w15:restartNumberingAfterBreak="0">
    <w:nsid w:val="4BAB197F"/>
    <w:multiLevelType w:val="hybridMultilevel"/>
    <w:tmpl w:val="9E8ABF32"/>
    <w:lvl w:ilvl="0" w:tplc="0C090001">
      <w:start w:val="1"/>
      <w:numFmt w:val="bullet"/>
      <w:lvlText w:val=""/>
      <w:lvlJc w:val="left"/>
      <w:pPr>
        <w:ind w:left="1080" w:hanging="360"/>
      </w:pPr>
      <w:rPr>
        <w:rFonts w:ascii="Symbol" w:hAnsi="Symbol" w:hint="default"/>
      </w:rPr>
    </w:lvl>
    <w:lvl w:ilvl="1" w:tplc="DBDC1624">
      <w:start w:val="1"/>
      <w:numFmt w:val="bullet"/>
      <w:lvlText w:val="̵"/>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5B516CE8"/>
    <w:multiLevelType w:val="hybridMultilevel"/>
    <w:tmpl w:val="62A852B2"/>
    <w:lvl w:ilvl="0" w:tplc="FC782E66">
      <w:start w:val="1"/>
      <w:numFmt w:val="bullet"/>
      <w:lvlText w:val=""/>
      <w:lvlJc w:val="left"/>
      <w:pPr>
        <w:ind w:left="720" w:hanging="360"/>
      </w:pPr>
      <w:rPr>
        <w:rFonts w:ascii="Wingdings" w:hAnsi="Wingdings"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AA68EF"/>
    <w:multiLevelType w:val="hybridMultilevel"/>
    <w:tmpl w:val="6BF02DA4"/>
    <w:lvl w:ilvl="0" w:tplc="FC782E66">
      <w:start w:val="1"/>
      <w:numFmt w:val="bullet"/>
      <w:lvlText w:val=""/>
      <w:lvlJc w:val="left"/>
      <w:pPr>
        <w:ind w:left="1146" w:hanging="360"/>
      </w:pPr>
      <w:rPr>
        <w:rFonts w:ascii="Wingdings" w:hAnsi="Wingdings" w:hint="default"/>
        <w:color w:val="FF000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941886399">
    <w:abstractNumId w:val="5"/>
  </w:num>
  <w:num w:numId="2" w16cid:durableId="1162818487">
    <w:abstractNumId w:val="0"/>
  </w:num>
  <w:num w:numId="3" w16cid:durableId="10385548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0276642">
    <w:abstractNumId w:val="7"/>
  </w:num>
  <w:num w:numId="5" w16cid:durableId="887567407">
    <w:abstractNumId w:val="6"/>
  </w:num>
  <w:num w:numId="6" w16cid:durableId="1035932305">
    <w:abstractNumId w:val="1"/>
  </w:num>
  <w:num w:numId="7" w16cid:durableId="1396860028">
    <w:abstractNumId w:val="4"/>
  </w:num>
  <w:num w:numId="8" w16cid:durableId="1782874058">
    <w:abstractNumId w:val="2"/>
  </w:num>
  <w:num w:numId="9" w16cid:durableId="1668635958">
    <w:abstractNumId w:val="3"/>
  </w:num>
  <w:num w:numId="10" w16cid:durableId="1399278715">
    <w:abstractNumId w:val="8"/>
  </w:num>
  <w:num w:numId="11" w16cid:durableId="1044988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021F"/>
    <w:rsid w:val="00003832"/>
    <w:rsid w:val="0000694C"/>
    <w:rsid w:val="000206D1"/>
    <w:rsid w:val="0002308D"/>
    <w:rsid w:val="00027CFA"/>
    <w:rsid w:val="00030164"/>
    <w:rsid w:val="00052BD6"/>
    <w:rsid w:val="00054CB3"/>
    <w:rsid w:val="00060479"/>
    <w:rsid w:val="00061737"/>
    <w:rsid w:val="00061F59"/>
    <w:rsid w:val="000705A8"/>
    <w:rsid w:val="00084ED6"/>
    <w:rsid w:val="00087FA9"/>
    <w:rsid w:val="0009616C"/>
    <w:rsid w:val="000A3AC0"/>
    <w:rsid w:val="000A4432"/>
    <w:rsid w:val="000B3F7F"/>
    <w:rsid w:val="000B427E"/>
    <w:rsid w:val="000B7BD1"/>
    <w:rsid w:val="000C1B22"/>
    <w:rsid w:val="000C24AF"/>
    <w:rsid w:val="000C24F6"/>
    <w:rsid w:val="000D2E26"/>
    <w:rsid w:val="000E1477"/>
    <w:rsid w:val="000E49D4"/>
    <w:rsid w:val="00105FC0"/>
    <w:rsid w:val="0011372B"/>
    <w:rsid w:val="00124C2D"/>
    <w:rsid w:val="00125081"/>
    <w:rsid w:val="00125D6B"/>
    <w:rsid w:val="0013225A"/>
    <w:rsid w:val="00132E90"/>
    <w:rsid w:val="001352FA"/>
    <w:rsid w:val="00135940"/>
    <w:rsid w:val="00136841"/>
    <w:rsid w:val="00142674"/>
    <w:rsid w:val="00144AF5"/>
    <w:rsid w:val="001512CF"/>
    <w:rsid w:val="00155C21"/>
    <w:rsid w:val="001560C5"/>
    <w:rsid w:val="00157930"/>
    <w:rsid w:val="00173112"/>
    <w:rsid w:val="00177ACC"/>
    <w:rsid w:val="0018220C"/>
    <w:rsid w:val="001826A2"/>
    <w:rsid w:val="00190C91"/>
    <w:rsid w:val="0019150E"/>
    <w:rsid w:val="001A21C8"/>
    <w:rsid w:val="001B1C2F"/>
    <w:rsid w:val="001C0C2B"/>
    <w:rsid w:val="001C1FBB"/>
    <w:rsid w:val="001F2167"/>
    <w:rsid w:val="001F3F3B"/>
    <w:rsid w:val="001F5D52"/>
    <w:rsid w:val="00204B1E"/>
    <w:rsid w:val="00214905"/>
    <w:rsid w:val="00223096"/>
    <w:rsid w:val="002319A9"/>
    <w:rsid w:val="00232B77"/>
    <w:rsid w:val="00232F50"/>
    <w:rsid w:val="00235C1A"/>
    <w:rsid w:val="002365D3"/>
    <w:rsid w:val="00241CC6"/>
    <w:rsid w:val="00244436"/>
    <w:rsid w:val="00250B73"/>
    <w:rsid w:val="00251D4D"/>
    <w:rsid w:val="002618E1"/>
    <w:rsid w:val="00273079"/>
    <w:rsid w:val="002746BF"/>
    <w:rsid w:val="00277B05"/>
    <w:rsid w:val="00280DAD"/>
    <w:rsid w:val="00285B77"/>
    <w:rsid w:val="00291B77"/>
    <w:rsid w:val="002B4D6F"/>
    <w:rsid w:val="002C2390"/>
    <w:rsid w:val="002C6EC3"/>
    <w:rsid w:val="002D0529"/>
    <w:rsid w:val="002D324A"/>
    <w:rsid w:val="002F16D4"/>
    <w:rsid w:val="002F7A95"/>
    <w:rsid w:val="003040B2"/>
    <w:rsid w:val="003078EB"/>
    <w:rsid w:val="00311C6F"/>
    <w:rsid w:val="00312238"/>
    <w:rsid w:val="00317CBA"/>
    <w:rsid w:val="00325189"/>
    <w:rsid w:val="0033020A"/>
    <w:rsid w:val="003343AF"/>
    <w:rsid w:val="00346782"/>
    <w:rsid w:val="00356193"/>
    <w:rsid w:val="00360531"/>
    <w:rsid w:val="00370399"/>
    <w:rsid w:val="0037723F"/>
    <w:rsid w:val="00377621"/>
    <w:rsid w:val="0038102D"/>
    <w:rsid w:val="003838D2"/>
    <w:rsid w:val="003844CD"/>
    <w:rsid w:val="00384B2F"/>
    <w:rsid w:val="00395A40"/>
    <w:rsid w:val="003B2984"/>
    <w:rsid w:val="003B5830"/>
    <w:rsid w:val="003C7E4B"/>
    <w:rsid w:val="003D08B0"/>
    <w:rsid w:val="003D2558"/>
    <w:rsid w:val="003D2751"/>
    <w:rsid w:val="003D297D"/>
    <w:rsid w:val="003D2EDC"/>
    <w:rsid w:val="004103D2"/>
    <w:rsid w:val="004111D9"/>
    <w:rsid w:val="00413F62"/>
    <w:rsid w:val="0042022A"/>
    <w:rsid w:val="0042613D"/>
    <w:rsid w:val="00427AEC"/>
    <w:rsid w:val="00430FE6"/>
    <w:rsid w:val="00432162"/>
    <w:rsid w:val="004409C0"/>
    <w:rsid w:val="00452ED2"/>
    <w:rsid w:val="0046371D"/>
    <w:rsid w:val="00481128"/>
    <w:rsid w:val="0048475D"/>
    <w:rsid w:val="004863D8"/>
    <w:rsid w:val="004912CE"/>
    <w:rsid w:val="00494647"/>
    <w:rsid w:val="004976A5"/>
    <w:rsid w:val="004A42A9"/>
    <w:rsid w:val="004A5793"/>
    <w:rsid w:val="004B1861"/>
    <w:rsid w:val="004C566C"/>
    <w:rsid w:val="004C5C28"/>
    <w:rsid w:val="004E64E2"/>
    <w:rsid w:val="004F1261"/>
    <w:rsid w:val="004F364D"/>
    <w:rsid w:val="004F56B7"/>
    <w:rsid w:val="004F5B30"/>
    <w:rsid w:val="00511241"/>
    <w:rsid w:val="005147EE"/>
    <w:rsid w:val="005150EA"/>
    <w:rsid w:val="00522E69"/>
    <w:rsid w:val="00525663"/>
    <w:rsid w:val="005456A9"/>
    <w:rsid w:val="005467DE"/>
    <w:rsid w:val="0054695D"/>
    <w:rsid w:val="005522A2"/>
    <w:rsid w:val="00573A2E"/>
    <w:rsid w:val="005749C9"/>
    <w:rsid w:val="00582696"/>
    <w:rsid w:val="00587544"/>
    <w:rsid w:val="005A0B8A"/>
    <w:rsid w:val="005A522F"/>
    <w:rsid w:val="005A60F6"/>
    <w:rsid w:val="005B2DC0"/>
    <w:rsid w:val="005D179D"/>
    <w:rsid w:val="005D4775"/>
    <w:rsid w:val="005E1029"/>
    <w:rsid w:val="005E624B"/>
    <w:rsid w:val="005E6DE6"/>
    <w:rsid w:val="005E7A9C"/>
    <w:rsid w:val="005F391B"/>
    <w:rsid w:val="005F3B0D"/>
    <w:rsid w:val="006037AE"/>
    <w:rsid w:val="006101F1"/>
    <w:rsid w:val="00611249"/>
    <w:rsid w:val="0061170D"/>
    <w:rsid w:val="00616B7E"/>
    <w:rsid w:val="0062218A"/>
    <w:rsid w:val="006267CF"/>
    <w:rsid w:val="0063383F"/>
    <w:rsid w:val="00636273"/>
    <w:rsid w:val="00636B23"/>
    <w:rsid w:val="00646DF2"/>
    <w:rsid w:val="00652918"/>
    <w:rsid w:val="00661114"/>
    <w:rsid w:val="00662930"/>
    <w:rsid w:val="006632F8"/>
    <w:rsid w:val="00664EE1"/>
    <w:rsid w:val="00674136"/>
    <w:rsid w:val="00680D0B"/>
    <w:rsid w:val="00686CB1"/>
    <w:rsid w:val="006B0AAA"/>
    <w:rsid w:val="006B44CC"/>
    <w:rsid w:val="006C0E8E"/>
    <w:rsid w:val="006C2E20"/>
    <w:rsid w:val="006D19C4"/>
    <w:rsid w:val="006D3038"/>
    <w:rsid w:val="006D760F"/>
    <w:rsid w:val="006D7B7E"/>
    <w:rsid w:val="006E4C3D"/>
    <w:rsid w:val="006F529A"/>
    <w:rsid w:val="0070091A"/>
    <w:rsid w:val="0071017E"/>
    <w:rsid w:val="007159A0"/>
    <w:rsid w:val="007239FD"/>
    <w:rsid w:val="0073498C"/>
    <w:rsid w:val="007353F1"/>
    <w:rsid w:val="00740358"/>
    <w:rsid w:val="007418B2"/>
    <w:rsid w:val="007429B0"/>
    <w:rsid w:val="00747A26"/>
    <w:rsid w:val="0075314E"/>
    <w:rsid w:val="0076516F"/>
    <w:rsid w:val="007668B2"/>
    <w:rsid w:val="00767D32"/>
    <w:rsid w:val="00782A9C"/>
    <w:rsid w:val="00783FCC"/>
    <w:rsid w:val="00791AC6"/>
    <w:rsid w:val="00795E06"/>
    <w:rsid w:val="007969B3"/>
    <w:rsid w:val="007979D6"/>
    <w:rsid w:val="007B2D49"/>
    <w:rsid w:val="007B59D9"/>
    <w:rsid w:val="007C1536"/>
    <w:rsid w:val="007D25D5"/>
    <w:rsid w:val="007D5BCF"/>
    <w:rsid w:val="007D7765"/>
    <w:rsid w:val="007E3021"/>
    <w:rsid w:val="007E5F56"/>
    <w:rsid w:val="007F0C9B"/>
    <w:rsid w:val="007F12B7"/>
    <w:rsid w:val="007F1BD2"/>
    <w:rsid w:val="007F3462"/>
    <w:rsid w:val="007F45F2"/>
    <w:rsid w:val="008002F5"/>
    <w:rsid w:val="008006B0"/>
    <w:rsid w:val="00822333"/>
    <w:rsid w:val="0082408D"/>
    <w:rsid w:val="00825589"/>
    <w:rsid w:val="0084207F"/>
    <w:rsid w:val="008434E1"/>
    <w:rsid w:val="008450E3"/>
    <w:rsid w:val="0085674D"/>
    <w:rsid w:val="00862631"/>
    <w:rsid w:val="00864393"/>
    <w:rsid w:val="008711E5"/>
    <w:rsid w:val="0088378F"/>
    <w:rsid w:val="00887E42"/>
    <w:rsid w:val="00887E5B"/>
    <w:rsid w:val="008A1189"/>
    <w:rsid w:val="008B3356"/>
    <w:rsid w:val="008B7D17"/>
    <w:rsid w:val="008C562A"/>
    <w:rsid w:val="008D33D8"/>
    <w:rsid w:val="008D6E5B"/>
    <w:rsid w:val="008F2784"/>
    <w:rsid w:val="008F6D10"/>
    <w:rsid w:val="009061AA"/>
    <w:rsid w:val="00912B52"/>
    <w:rsid w:val="00922D02"/>
    <w:rsid w:val="009337B4"/>
    <w:rsid w:val="00940994"/>
    <w:rsid w:val="009437CD"/>
    <w:rsid w:val="00946EFB"/>
    <w:rsid w:val="0096152E"/>
    <w:rsid w:val="00964B49"/>
    <w:rsid w:val="0096654D"/>
    <w:rsid w:val="00971736"/>
    <w:rsid w:val="009748E1"/>
    <w:rsid w:val="00982EE7"/>
    <w:rsid w:val="00987926"/>
    <w:rsid w:val="0099218F"/>
    <w:rsid w:val="00993D5C"/>
    <w:rsid w:val="00995BD5"/>
    <w:rsid w:val="009A2130"/>
    <w:rsid w:val="009B16DB"/>
    <w:rsid w:val="009B5C49"/>
    <w:rsid w:val="009B7736"/>
    <w:rsid w:val="009C18C4"/>
    <w:rsid w:val="009C25AD"/>
    <w:rsid w:val="009C70B3"/>
    <w:rsid w:val="009D3D89"/>
    <w:rsid w:val="009D49E4"/>
    <w:rsid w:val="009D4C03"/>
    <w:rsid w:val="009E4022"/>
    <w:rsid w:val="009E4F9C"/>
    <w:rsid w:val="009F5B75"/>
    <w:rsid w:val="00A0189E"/>
    <w:rsid w:val="00A02D53"/>
    <w:rsid w:val="00A077D1"/>
    <w:rsid w:val="00A26FF2"/>
    <w:rsid w:val="00A2794A"/>
    <w:rsid w:val="00A33C06"/>
    <w:rsid w:val="00A35070"/>
    <w:rsid w:val="00A3519E"/>
    <w:rsid w:val="00A3638A"/>
    <w:rsid w:val="00A371A8"/>
    <w:rsid w:val="00A47528"/>
    <w:rsid w:val="00A6628D"/>
    <w:rsid w:val="00A912C0"/>
    <w:rsid w:val="00A91E41"/>
    <w:rsid w:val="00A96E88"/>
    <w:rsid w:val="00AA5438"/>
    <w:rsid w:val="00AB3938"/>
    <w:rsid w:val="00AD11FD"/>
    <w:rsid w:val="00AD4962"/>
    <w:rsid w:val="00AD5FCF"/>
    <w:rsid w:val="00AE3BD4"/>
    <w:rsid w:val="00AE5EAF"/>
    <w:rsid w:val="00AF28D2"/>
    <w:rsid w:val="00AF6135"/>
    <w:rsid w:val="00B048EB"/>
    <w:rsid w:val="00B10BD0"/>
    <w:rsid w:val="00B1489C"/>
    <w:rsid w:val="00B15D1E"/>
    <w:rsid w:val="00B22576"/>
    <w:rsid w:val="00B3297B"/>
    <w:rsid w:val="00B33FA3"/>
    <w:rsid w:val="00B34CAE"/>
    <w:rsid w:val="00B3533D"/>
    <w:rsid w:val="00B37867"/>
    <w:rsid w:val="00B43545"/>
    <w:rsid w:val="00B4556F"/>
    <w:rsid w:val="00B45B51"/>
    <w:rsid w:val="00B5065D"/>
    <w:rsid w:val="00B550E3"/>
    <w:rsid w:val="00B63E54"/>
    <w:rsid w:val="00B6797D"/>
    <w:rsid w:val="00B72A7B"/>
    <w:rsid w:val="00B84B8B"/>
    <w:rsid w:val="00BA49A2"/>
    <w:rsid w:val="00BB12D3"/>
    <w:rsid w:val="00BB1672"/>
    <w:rsid w:val="00BD06FA"/>
    <w:rsid w:val="00BD1A9E"/>
    <w:rsid w:val="00BD29FC"/>
    <w:rsid w:val="00BD548D"/>
    <w:rsid w:val="00BE21F6"/>
    <w:rsid w:val="00BE4310"/>
    <w:rsid w:val="00BF2BEA"/>
    <w:rsid w:val="00BF2DC5"/>
    <w:rsid w:val="00BF2E07"/>
    <w:rsid w:val="00BF6263"/>
    <w:rsid w:val="00C07765"/>
    <w:rsid w:val="00C11758"/>
    <w:rsid w:val="00C1310E"/>
    <w:rsid w:val="00C16490"/>
    <w:rsid w:val="00C26F21"/>
    <w:rsid w:val="00C308CC"/>
    <w:rsid w:val="00C31704"/>
    <w:rsid w:val="00C37C5E"/>
    <w:rsid w:val="00C5501E"/>
    <w:rsid w:val="00C612BF"/>
    <w:rsid w:val="00C634E1"/>
    <w:rsid w:val="00C634EB"/>
    <w:rsid w:val="00C658A9"/>
    <w:rsid w:val="00C71E76"/>
    <w:rsid w:val="00C7299D"/>
    <w:rsid w:val="00C8351B"/>
    <w:rsid w:val="00C86A99"/>
    <w:rsid w:val="00C920EC"/>
    <w:rsid w:val="00C950FD"/>
    <w:rsid w:val="00CA016B"/>
    <w:rsid w:val="00CA2983"/>
    <w:rsid w:val="00CB1509"/>
    <w:rsid w:val="00CB320F"/>
    <w:rsid w:val="00CB5E8E"/>
    <w:rsid w:val="00CC50D5"/>
    <w:rsid w:val="00CD3F04"/>
    <w:rsid w:val="00CD69CF"/>
    <w:rsid w:val="00CE708B"/>
    <w:rsid w:val="00CF0770"/>
    <w:rsid w:val="00CF1B27"/>
    <w:rsid w:val="00CF28ED"/>
    <w:rsid w:val="00CF6792"/>
    <w:rsid w:val="00CF725A"/>
    <w:rsid w:val="00CF775D"/>
    <w:rsid w:val="00D00823"/>
    <w:rsid w:val="00D12DD5"/>
    <w:rsid w:val="00D20510"/>
    <w:rsid w:val="00D446F7"/>
    <w:rsid w:val="00D448EA"/>
    <w:rsid w:val="00D52CB6"/>
    <w:rsid w:val="00D577B2"/>
    <w:rsid w:val="00D6274D"/>
    <w:rsid w:val="00D63460"/>
    <w:rsid w:val="00D7093B"/>
    <w:rsid w:val="00D74228"/>
    <w:rsid w:val="00D75C21"/>
    <w:rsid w:val="00D773F6"/>
    <w:rsid w:val="00D90287"/>
    <w:rsid w:val="00D90778"/>
    <w:rsid w:val="00DA06B7"/>
    <w:rsid w:val="00DA7EAC"/>
    <w:rsid w:val="00DB000D"/>
    <w:rsid w:val="00DB2603"/>
    <w:rsid w:val="00DC4052"/>
    <w:rsid w:val="00DC6452"/>
    <w:rsid w:val="00DC70BF"/>
    <w:rsid w:val="00DD02F8"/>
    <w:rsid w:val="00DD64E1"/>
    <w:rsid w:val="00DD7659"/>
    <w:rsid w:val="00DF008A"/>
    <w:rsid w:val="00DF4BB9"/>
    <w:rsid w:val="00E061C0"/>
    <w:rsid w:val="00E118E0"/>
    <w:rsid w:val="00E1718E"/>
    <w:rsid w:val="00E22C0F"/>
    <w:rsid w:val="00E235B1"/>
    <w:rsid w:val="00E27E84"/>
    <w:rsid w:val="00E3020D"/>
    <w:rsid w:val="00E30AAB"/>
    <w:rsid w:val="00E330E0"/>
    <w:rsid w:val="00E3367D"/>
    <w:rsid w:val="00E42603"/>
    <w:rsid w:val="00E4295A"/>
    <w:rsid w:val="00E449D4"/>
    <w:rsid w:val="00E52EFF"/>
    <w:rsid w:val="00E741F8"/>
    <w:rsid w:val="00E774EE"/>
    <w:rsid w:val="00E90B85"/>
    <w:rsid w:val="00E94A78"/>
    <w:rsid w:val="00E96EC5"/>
    <w:rsid w:val="00EA7C62"/>
    <w:rsid w:val="00EB3809"/>
    <w:rsid w:val="00EB78CB"/>
    <w:rsid w:val="00EC642D"/>
    <w:rsid w:val="00ED248A"/>
    <w:rsid w:val="00EF0DBB"/>
    <w:rsid w:val="00EF3154"/>
    <w:rsid w:val="00F034AC"/>
    <w:rsid w:val="00F05E37"/>
    <w:rsid w:val="00F10D65"/>
    <w:rsid w:val="00F32203"/>
    <w:rsid w:val="00F32DE4"/>
    <w:rsid w:val="00F34867"/>
    <w:rsid w:val="00F36DE5"/>
    <w:rsid w:val="00F44B26"/>
    <w:rsid w:val="00F465E0"/>
    <w:rsid w:val="00F66B46"/>
    <w:rsid w:val="00F70493"/>
    <w:rsid w:val="00F755BE"/>
    <w:rsid w:val="00F82369"/>
    <w:rsid w:val="00F82457"/>
    <w:rsid w:val="00F84445"/>
    <w:rsid w:val="00F8601B"/>
    <w:rsid w:val="00FA7C7C"/>
    <w:rsid w:val="00FC1D65"/>
    <w:rsid w:val="00FC1DFC"/>
    <w:rsid w:val="00FC31CB"/>
    <w:rsid w:val="00FD7C98"/>
    <w:rsid w:val="00FD7D67"/>
    <w:rsid w:val="00FF004D"/>
    <w:rsid w:val="00FF7188"/>
    <w:rsid w:val="0CF7C9D9"/>
    <w:rsid w:val="1893D3CB"/>
    <w:rsid w:val="33C10111"/>
    <w:rsid w:val="33C82472"/>
    <w:rsid w:val="35F5B2E1"/>
    <w:rsid w:val="45596B87"/>
    <w:rsid w:val="4D687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F357C03B-434F-4AE9-8FE7-6D43233C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5E1029"/>
    <w:rPr>
      <w:color w:val="0000FF"/>
      <w:u w:val="single"/>
    </w:rPr>
  </w:style>
  <w:style w:type="character" w:styleId="CommentReference">
    <w:name w:val="annotation reference"/>
    <w:basedOn w:val="DefaultParagraphFont"/>
    <w:uiPriority w:val="99"/>
    <w:semiHidden/>
    <w:unhideWhenUsed/>
    <w:rsid w:val="0042022A"/>
    <w:rPr>
      <w:sz w:val="16"/>
      <w:szCs w:val="16"/>
    </w:rPr>
  </w:style>
  <w:style w:type="paragraph" w:styleId="CommentText">
    <w:name w:val="annotation text"/>
    <w:basedOn w:val="Normal"/>
    <w:link w:val="CommentTextChar"/>
    <w:uiPriority w:val="99"/>
    <w:unhideWhenUsed/>
    <w:rsid w:val="0042022A"/>
    <w:rPr>
      <w:sz w:val="20"/>
      <w:szCs w:val="20"/>
    </w:rPr>
  </w:style>
  <w:style w:type="character" w:customStyle="1" w:styleId="CommentTextChar">
    <w:name w:val="Comment Text Char"/>
    <w:basedOn w:val="DefaultParagraphFont"/>
    <w:link w:val="CommentText"/>
    <w:uiPriority w:val="99"/>
    <w:rsid w:val="0042022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42022A"/>
    <w:rPr>
      <w:b/>
      <w:bCs/>
    </w:rPr>
  </w:style>
  <w:style w:type="character" w:customStyle="1" w:styleId="CommentSubjectChar">
    <w:name w:val="Comment Subject Char"/>
    <w:basedOn w:val="CommentTextChar"/>
    <w:link w:val="CommentSubject"/>
    <w:uiPriority w:val="99"/>
    <w:semiHidden/>
    <w:rsid w:val="0042022A"/>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42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2A"/>
    <w:rPr>
      <w:rFonts w:ascii="Segoe UI" w:eastAsia="Times New Roman" w:hAnsi="Segoe UI" w:cs="Segoe UI"/>
      <w:sz w:val="18"/>
      <w:szCs w:val="18"/>
      <w:lang w:eastAsia="en-AU" w:bidi="en-AU"/>
    </w:rPr>
  </w:style>
  <w:style w:type="paragraph" w:styleId="BodyTextIndent2">
    <w:name w:val="Body Text Indent 2"/>
    <w:basedOn w:val="Normal"/>
    <w:link w:val="BodyTextIndent2Char"/>
    <w:uiPriority w:val="99"/>
    <w:semiHidden/>
    <w:unhideWhenUsed/>
    <w:rsid w:val="0042022A"/>
    <w:pPr>
      <w:spacing w:after="120" w:line="480" w:lineRule="auto"/>
      <w:ind w:left="283"/>
    </w:pPr>
  </w:style>
  <w:style w:type="character" w:customStyle="1" w:styleId="BodyTextIndent2Char">
    <w:name w:val="Body Text Indent 2 Char"/>
    <w:basedOn w:val="DefaultParagraphFont"/>
    <w:link w:val="BodyTextIndent2"/>
    <w:uiPriority w:val="99"/>
    <w:semiHidden/>
    <w:rsid w:val="0042022A"/>
    <w:rPr>
      <w:rFonts w:ascii="Times New Roman" w:eastAsia="Times New Roman" w:hAnsi="Times New Roman" w:cs="Times New Roman"/>
      <w:lang w:eastAsia="en-AU" w:bidi="en-AU"/>
    </w:rPr>
  </w:style>
  <w:style w:type="character" w:customStyle="1" w:styleId="normaltextrun">
    <w:name w:val="normaltextrun"/>
    <w:basedOn w:val="DefaultParagraphFont"/>
    <w:rsid w:val="006037AE"/>
  </w:style>
  <w:style w:type="character" w:styleId="Strong">
    <w:name w:val="Strong"/>
    <w:basedOn w:val="DefaultParagraphFont"/>
    <w:uiPriority w:val="22"/>
    <w:qFormat/>
    <w:rsid w:val="00061737"/>
    <w:rPr>
      <w:b/>
      <w:bCs/>
    </w:rPr>
  </w:style>
  <w:style w:type="paragraph" w:styleId="Revision">
    <w:name w:val="Revision"/>
    <w:hidden/>
    <w:uiPriority w:val="99"/>
    <w:semiHidden/>
    <w:rsid w:val="005D179D"/>
    <w:pPr>
      <w:spacing w:after="0" w:line="240" w:lineRule="auto"/>
    </w:pPr>
    <w:rPr>
      <w:rFonts w:ascii="Times New Roman" w:eastAsia="Times New Roman" w:hAnsi="Times New Roman" w:cs="Times New Roman"/>
      <w:lang w:eastAsia="en-AU" w:bidi="en-AU"/>
    </w:rPr>
  </w:style>
  <w:style w:type="paragraph" w:customStyle="1" w:styleId="TableParagraph">
    <w:name w:val="Table Paragraph"/>
    <w:basedOn w:val="Normal"/>
    <w:uiPriority w:val="1"/>
    <w:qFormat/>
    <w:rsid w:val="00E235B1"/>
    <w:pPr>
      <w:ind w:left="109"/>
    </w:pPr>
    <w:rPr>
      <w:rFonts w:ascii="Calibri" w:eastAsia="Calibri" w:hAnsi="Calibri" w:cs="Calibri"/>
      <w:lang w:val="en-GB" w:eastAsia="en-US" w:bidi="ar-SA"/>
    </w:rPr>
  </w:style>
  <w:style w:type="paragraph" w:customStyle="1" w:styleId="elementtoproof">
    <w:name w:val="elementtoproof"/>
    <w:basedOn w:val="Normal"/>
    <w:rsid w:val="00E235B1"/>
    <w:pPr>
      <w:widowControl/>
      <w:autoSpaceDE/>
      <w:autoSpaceDN/>
    </w:pPr>
    <w:rPr>
      <w:rFonts w:ascii="Aptos" w:eastAsiaTheme="minorHAnsi"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18">
      <w:bodyDiv w:val="1"/>
      <w:marLeft w:val="0"/>
      <w:marRight w:val="0"/>
      <w:marTop w:val="0"/>
      <w:marBottom w:val="0"/>
      <w:divBdr>
        <w:top w:val="none" w:sz="0" w:space="0" w:color="auto"/>
        <w:left w:val="none" w:sz="0" w:space="0" w:color="auto"/>
        <w:bottom w:val="none" w:sz="0" w:space="0" w:color="auto"/>
        <w:right w:val="none" w:sz="0" w:space="0" w:color="auto"/>
      </w:divBdr>
    </w:div>
    <w:div w:id="589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AF4F5E8E2C0141877020776CDB0D15" ma:contentTypeVersion="2" ma:contentTypeDescription="Create a new document." ma:contentTypeScope="" ma:versionID="d43ff255415b5f1d22e1409073b72c14">
  <xsd:schema xmlns:xsd="http://www.w3.org/2001/XMLSchema" xmlns:xs="http://www.w3.org/2001/XMLSchema" xmlns:p="http://schemas.microsoft.com/office/2006/metadata/properties" xmlns:ns2="4396e5ad-868d-454e-9d58-ee6657ede468" targetNamespace="http://schemas.microsoft.com/office/2006/metadata/properties" ma:root="true" ma:fieldsID="57d652291897bde0b9f5ea1a76982bd7" ns2:_="">
    <xsd:import namespace="4396e5ad-868d-454e-9d58-ee6657ede4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6e5ad-868d-454e-9d58-ee6657ede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C86E4-1DEF-4247-91E2-DEEBA0396E82}">
  <ds:schemaRefs>
    <ds:schemaRef ds:uri="http://schemas.microsoft.com/sharepoint/v3/contenttype/forms"/>
  </ds:schemaRefs>
</ds:datastoreItem>
</file>

<file path=customXml/itemProps2.xml><?xml version="1.0" encoding="utf-8"?>
<ds:datastoreItem xmlns:ds="http://schemas.openxmlformats.org/officeDocument/2006/customXml" ds:itemID="{CD067B7A-8DF4-416F-AB89-3FD4092A2492}">
  <ds:schemaRefs>
    <ds:schemaRef ds:uri="http://schemas.openxmlformats.org/officeDocument/2006/bibliography"/>
  </ds:schemaRefs>
</ds:datastoreItem>
</file>

<file path=customXml/itemProps3.xml><?xml version="1.0" encoding="utf-8"?>
<ds:datastoreItem xmlns:ds="http://schemas.openxmlformats.org/officeDocument/2006/customXml" ds:itemID="{BF4EC1BC-F4FB-4228-985B-D3940884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6e5ad-868d-454e-9d58-ee6657ede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30FCE-20DE-4FDF-BBDD-1086589C0B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cp:lastPrinted>2025-02-27T23:24:00Z</cp:lastPrinted>
  <dcterms:created xsi:type="dcterms:W3CDTF">2026-05-11T01:08:00Z</dcterms:created>
  <dcterms:modified xsi:type="dcterms:W3CDTF">2026-05-11T01:08:00Z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0x01010008AF4F5E8E2C0141877020776CDB0D15</vt:lpwstr>
  </property>
  <property fmtid="{D5CDD505-2E9C-101B-9397-08002B2CF9AE}" pid="3" name="Order">
    <vt:r8>200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2</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454</vt:lpwstr>
  </property>
  <property fmtid="{D5CDD505-2E9C-101B-9397-08002B2CF9AE}" pid="11" name="Job Function">
    <vt:lpwstr>7</vt:lpwstr>
  </property>
  <property fmtid="{D5CDD505-2E9C-101B-9397-08002B2CF9AE}" pid="12" name="MSIP_Label_adaa4be3-f650-4692-881a-64ae220cbceb_Enabled">
    <vt:lpwstr>true</vt:lpwstr>
  </property>
  <property fmtid="{D5CDD505-2E9C-101B-9397-08002B2CF9AE}" pid="13" name="MSIP_Label_adaa4be3-f650-4692-881a-64ae220cbceb_SetDate">
    <vt:lpwstr>2022-12-07T01:44:59Z</vt:lpwstr>
  </property>
  <property fmtid="{D5CDD505-2E9C-101B-9397-08002B2CF9AE}" pid="14" name="MSIP_Label_adaa4be3-f650-4692-881a-64ae220cbceb_Method">
    <vt:lpwstr>Standard</vt:lpwstr>
  </property>
  <property fmtid="{D5CDD505-2E9C-101B-9397-08002B2CF9AE}" pid="15" name="MSIP_Label_adaa4be3-f650-4692-881a-64ae220cbceb_Name">
    <vt:lpwstr>OFFICIAL  Internal (External sharing)</vt:lpwstr>
  </property>
  <property fmtid="{D5CDD505-2E9C-101B-9397-08002B2CF9AE}" pid="16" name="MSIP_Label_adaa4be3-f650-4692-881a-64ae220cbceb_SiteId">
    <vt:lpwstr>5a7cc8ab-a4dc-4f9b-bf60-66714049ad62</vt:lpwstr>
  </property>
  <property fmtid="{D5CDD505-2E9C-101B-9397-08002B2CF9AE}" pid="17" name="MSIP_Label_adaa4be3-f650-4692-881a-64ae220cbceb_ActionId">
    <vt:lpwstr>204367d1-187d-42bc-8961-65dfc2338f89</vt:lpwstr>
  </property>
  <property fmtid="{D5CDD505-2E9C-101B-9397-08002B2CF9AE}" pid="18" name="MSIP_Label_adaa4be3-f650-4692-881a-64ae220cbceb_ContentBits">
    <vt:lpwstr>0</vt:lpwstr>
  </property>
  <property fmtid="{D5CDD505-2E9C-101B-9397-08002B2CF9AE}" pid="19" name="MediaServiceImageTags">
    <vt:lpwstr/>
  </property>
  <property fmtid="{D5CDD505-2E9C-101B-9397-08002B2CF9AE}" pid="20" name="SharedWithUsers">
    <vt:lpwstr>49;#Chris Beattie</vt:lpwstr>
  </property>
  <property fmtid="{D5CDD505-2E9C-101B-9397-08002B2CF9AE}" pid="21" name="TriggerFlowInfo">
    <vt:lpwstr/>
  </property>
  <property fmtid="{D5CDD505-2E9C-101B-9397-08002B2CF9AE}" pid="22" name="_ExtendedDescription">
    <vt:lpwstr/>
  </property>
</Properties>
</file>