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242AC6" w14:textId="0193C205" w:rsidR="00E449D4" w:rsidRDefault="00E449D4" w:rsidP="00E449D4">
      <w:pPr>
        <w:rPr>
          <w:rFonts w:ascii="Arial" w:hAnsi="Arial" w:cs="Arial"/>
          <w:b/>
          <w:sz w:val="36"/>
          <w:szCs w:val="36"/>
        </w:rPr>
      </w:pPr>
    </w:p>
    <w:p w14:paraId="1C86DE4F" w14:textId="7D0B41C8" w:rsidR="00E449D4" w:rsidRDefault="00E449D4" w:rsidP="00E449D4">
      <w:pPr>
        <w:rPr>
          <w:rFonts w:ascii="Arial" w:hAnsi="Arial" w:cs="Arial"/>
          <w:b/>
          <w:sz w:val="36"/>
          <w:szCs w:val="36"/>
        </w:rPr>
      </w:pPr>
    </w:p>
    <w:p w14:paraId="33E78D21" w14:textId="551E09C6" w:rsidR="00E449D4" w:rsidRDefault="00E449D4" w:rsidP="00E449D4">
      <w:pPr>
        <w:rPr>
          <w:rFonts w:ascii="Arial" w:hAnsi="Arial" w:cs="Arial"/>
          <w:b/>
          <w:sz w:val="36"/>
          <w:szCs w:val="36"/>
        </w:rPr>
      </w:pPr>
    </w:p>
    <w:p w14:paraId="7C69C226" w14:textId="77777777" w:rsidR="00E449D4" w:rsidRPr="00C138CC" w:rsidRDefault="00E449D4" w:rsidP="00E449D4">
      <w:pPr>
        <w:rPr>
          <w:rFonts w:ascii="Arial" w:hAnsi="Arial" w:cs="Arial"/>
          <w:b/>
          <w:sz w:val="36"/>
          <w:szCs w:val="36"/>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875"/>
        <w:gridCol w:w="6197"/>
      </w:tblGrid>
      <w:tr w:rsidR="00E449D4" w:rsidRPr="00C138CC" w14:paraId="73456FE4" w14:textId="77777777" w:rsidTr="00AC182E">
        <w:trPr>
          <w:trHeight w:val="460"/>
          <w:jc w:val="center"/>
        </w:trPr>
        <w:tc>
          <w:tcPr>
            <w:tcW w:w="2875" w:type="dxa"/>
            <w:shd w:val="clear" w:color="auto" w:fill="D9D9D9" w:themeFill="background1" w:themeFillShade="D9"/>
          </w:tcPr>
          <w:p w14:paraId="4D89E451" w14:textId="77777777" w:rsidR="00E449D4" w:rsidRPr="00C138CC" w:rsidRDefault="00E449D4" w:rsidP="00AC182E">
            <w:pPr>
              <w:rPr>
                <w:rFonts w:ascii="Arial" w:eastAsia="Malgun Gothic" w:hAnsi="Arial" w:cs="Arial"/>
                <w:b/>
                <w:color w:val="000000" w:themeColor="text1"/>
              </w:rPr>
            </w:pPr>
            <w:r w:rsidRPr="00C138CC">
              <w:rPr>
                <w:rFonts w:ascii="Arial" w:eastAsia="Malgun Gothic" w:hAnsi="Arial" w:cs="Arial"/>
                <w:b/>
                <w:color w:val="000000" w:themeColor="text1"/>
              </w:rPr>
              <w:t>Position Title</w:t>
            </w:r>
          </w:p>
        </w:tc>
        <w:tc>
          <w:tcPr>
            <w:tcW w:w="6197" w:type="dxa"/>
          </w:tcPr>
          <w:p w14:paraId="3E08D0F7" w14:textId="7F8EB3D5" w:rsidR="00E449D4" w:rsidRPr="00C138CC" w:rsidRDefault="00E60C42" w:rsidP="00AC182E">
            <w:pPr>
              <w:jc w:val="both"/>
              <w:rPr>
                <w:rFonts w:ascii="Arial" w:hAnsi="Arial" w:cs="Arial"/>
                <w:sz w:val="20"/>
                <w:szCs w:val="20"/>
              </w:rPr>
            </w:pPr>
            <w:r>
              <w:rPr>
                <w:rFonts w:ascii="Arial" w:hAnsi="Arial" w:cs="Arial"/>
                <w:sz w:val="20"/>
                <w:szCs w:val="20"/>
              </w:rPr>
              <w:t>Princip</w:t>
            </w:r>
            <w:r w:rsidR="00832571">
              <w:rPr>
                <w:rFonts w:ascii="Arial" w:hAnsi="Arial" w:cs="Arial"/>
                <w:sz w:val="20"/>
                <w:szCs w:val="20"/>
              </w:rPr>
              <w:t>al</w:t>
            </w:r>
            <w:r w:rsidR="005C4FBD">
              <w:rPr>
                <w:rFonts w:ascii="Arial" w:hAnsi="Arial" w:cs="Arial"/>
                <w:sz w:val="20"/>
                <w:szCs w:val="20"/>
              </w:rPr>
              <w:t xml:space="preserve"> </w:t>
            </w:r>
            <w:r w:rsidR="00D76C6C">
              <w:rPr>
                <w:rFonts w:ascii="Arial" w:hAnsi="Arial" w:cs="Arial"/>
                <w:sz w:val="20"/>
                <w:szCs w:val="20"/>
              </w:rPr>
              <w:t>Internal Auditor</w:t>
            </w:r>
          </w:p>
        </w:tc>
      </w:tr>
      <w:tr w:rsidR="00E449D4" w:rsidRPr="00C138CC" w14:paraId="61B9059B" w14:textId="77777777" w:rsidTr="00AC182E">
        <w:trPr>
          <w:trHeight w:val="460"/>
          <w:jc w:val="center"/>
        </w:trPr>
        <w:tc>
          <w:tcPr>
            <w:tcW w:w="2875" w:type="dxa"/>
            <w:shd w:val="clear" w:color="auto" w:fill="D9D9D9" w:themeFill="background1" w:themeFillShade="D9"/>
          </w:tcPr>
          <w:p w14:paraId="49E267B4" w14:textId="77777777" w:rsidR="00E449D4" w:rsidRPr="00C138CC" w:rsidRDefault="00E449D4" w:rsidP="00AC182E">
            <w:pPr>
              <w:rPr>
                <w:rFonts w:ascii="Arial" w:eastAsia="Malgun Gothic" w:hAnsi="Arial" w:cs="Arial"/>
                <w:b/>
                <w:color w:val="000000" w:themeColor="text1"/>
              </w:rPr>
            </w:pPr>
            <w:r w:rsidRPr="00C138CC">
              <w:rPr>
                <w:rFonts w:ascii="Arial" w:eastAsia="Malgun Gothic" w:hAnsi="Arial" w:cs="Arial"/>
                <w:b/>
                <w:color w:val="000000" w:themeColor="text1"/>
              </w:rPr>
              <w:t>Group/Portfolio</w:t>
            </w:r>
          </w:p>
        </w:tc>
        <w:tc>
          <w:tcPr>
            <w:tcW w:w="6197" w:type="dxa"/>
          </w:tcPr>
          <w:p w14:paraId="0DB13132" w14:textId="77B38812" w:rsidR="00E449D4" w:rsidRPr="00C138CC" w:rsidRDefault="00CD17BD" w:rsidP="00AC182E">
            <w:pPr>
              <w:jc w:val="both"/>
              <w:rPr>
                <w:rFonts w:ascii="Arial" w:hAnsi="Arial" w:cs="Arial"/>
                <w:sz w:val="20"/>
                <w:szCs w:val="20"/>
              </w:rPr>
            </w:pPr>
            <w:r>
              <w:rPr>
                <w:rFonts w:ascii="Arial" w:hAnsi="Arial" w:cs="Arial"/>
                <w:sz w:val="20"/>
                <w:szCs w:val="20"/>
              </w:rPr>
              <w:t>Corporate Services/Office of the General Counsel</w:t>
            </w:r>
          </w:p>
        </w:tc>
      </w:tr>
      <w:tr w:rsidR="00E449D4" w:rsidRPr="00C138CC" w14:paraId="099F77AA" w14:textId="77777777" w:rsidTr="00AC182E">
        <w:trPr>
          <w:trHeight w:val="460"/>
          <w:jc w:val="center"/>
        </w:trPr>
        <w:tc>
          <w:tcPr>
            <w:tcW w:w="2875" w:type="dxa"/>
            <w:shd w:val="clear" w:color="auto" w:fill="D9D9D9" w:themeFill="background1" w:themeFillShade="D9"/>
          </w:tcPr>
          <w:p w14:paraId="1218FF3A" w14:textId="77777777" w:rsidR="00E449D4" w:rsidRPr="00C138CC" w:rsidRDefault="00E449D4" w:rsidP="00AC182E">
            <w:pPr>
              <w:rPr>
                <w:rFonts w:ascii="Arial" w:eastAsia="Malgun Gothic" w:hAnsi="Arial" w:cs="Arial"/>
                <w:b/>
                <w:color w:val="000000" w:themeColor="text1"/>
              </w:rPr>
            </w:pPr>
            <w:r w:rsidRPr="00C138CC">
              <w:rPr>
                <w:rFonts w:ascii="Arial" w:eastAsia="Malgun Gothic" w:hAnsi="Arial" w:cs="Arial"/>
                <w:b/>
                <w:color w:val="000000" w:themeColor="text1"/>
              </w:rPr>
              <w:t>Classification</w:t>
            </w:r>
          </w:p>
        </w:tc>
        <w:tc>
          <w:tcPr>
            <w:tcW w:w="6197" w:type="dxa"/>
          </w:tcPr>
          <w:p w14:paraId="0AACCCB0" w14:textId="04EA69D7" w:rsidR="00CD17BD" w:rsidRPr="00967BA9" w:rsidRDefault="00D76C6C" w:rsidP="00CD17BD">
            <w:pPr>
              <w:jc w:val="both"/>
              <w:rPr>
                <w:rFonts w:ascii="Arial" w:eastAsia="Arial" w:hAnsi="Arial" w:cs="Arial"/>
                <w:sz w:val="20"/>
                <w:szCs w:val="20"/>
              </w:rPr>
            </w:pPr>
            <w:r>
              <w:rPr>
                <w:rFonts w:ascii="Arial" w:eastAsia="Arial" w:hAnsi="Arial" w:cs="Arial"/>
                <w:color w:val="000000" w:themeColor="text1"/>
                <w:sz w:val="20"/>
                <w:szCs w:val="20"/>
              </w:rPr>
              <w:t xml:space="preserve">HEW Level </w:t>
            </w:r>
            <w:r w:rsidR="00832571">
              <w:rPr>
                <w:rFonts w:ascii="Arial" w:eastAsia="Arial" w:hAnsi="Arial" w:cs="Arial"/>
                <w:color w:val="000000" w:themeColor="text1"/>
                <w:sz w:val="20"/>
                <w:szCs w:val="20"/>
              </w:rPr>
              <w:t>10</w:t>
            </w:r>
          </w:p>
          <w:p w14:paraId="64040778" w14:textId="53D0C1EF" w:rsidR="00E449D4" w:rsidRPr="00C138CC" w:rsidRDefault="00E449D4" w:rsidP="00AC182E">
            <w:pPr>
              <w:jc w:val="both"/>
              <w:rPr>
                <w:rFonts w:ascii="Arial" w:hAnsi="Arial" w:cs="Arial"/>
                <w:sz w:val="20"/>
                <w:szCs w:val="20"/>
              </w:rPr>
            </w:pPr>
          </w:p>
        </w:tc>
      </w:tr>
      <w:tr w:rsidR="00E449D4" w:rsidRPr="00C138CC" w14:paraId="3786F4A0" w14:textId="77777777" w:rsidTr="00AC182E">
        <w:trPr>
          <w:trHeight w:val="460"/>
          <w:jc w:val="center"/>
        </w:trPr>
        <w:tc>
          <w:tcPr>
            <w:tcW w:w="2875" w:type="dxa"/>
            <w:shd w:val="clear" w:color="auto" w:fill="D9D9D9" w:themeFill="background1" w:themeFillShade="D9"/>
          </w:tcPr>
          <w:p w14:paraId="45BE6BE8" w14:textId="77777777" w:rsidR="00E449D4" w:rsidRPr="00C138CC" w:rsidRDefault="00E449D4" w:rsidP="00AC182E">
            <w:pPr>
              <w:rPr>
                <w:rFonts w:ascii="Arial" w:eastAsia="Malgun Gothic" w:hAnsi="Arial" w:cs="Arial"/>
                <w:b/>
                <w:color w:val="000000" w:themeColor="text1"/>
              </w:rPr>
            </w:pPr>
            <w:r w:rsidRPr="00C138CC">
              <w:rPr>
                <w:rFonts w:ascii="Arial" w:eastAsia="Malgun Gothic" w:hAnsi="Arial" w:cs="Arial"/>
                <w:b/>
                <w:color w:val="000000" w:themeColor="text1"/>
              </w:rPr>
              <w:t>Position Number</w:t>
            </w:r>
          </w:p>
        </w:tc>
        <w:tc>
          <w:tcPr>
            <w:tcW w:w="6197" w:type="dxa"/>
          </w:tcPr>
          <w:p w14:paraId="24D4CABF" w14:textId="7B9667F1" w:rsidR="00CD17BD" w:rsidRPr="00967BA9" w:rsidRDefault="00BD3B68" w:rsidP="00CD17BD">
            <w:pPr>
              <w:jc w:val="both"/>
              <w:rPr>
                <w:rFonts w:ascii="Arial" w:eastAsia="Arial" w:hAnsi="Arial" w:cs="Arial"/>
                <w:sz w:val="20"/>
                <w:szCs w:val="20"/>
              </w:rPr>
            </w:pPr>
            <w:r>
              <w:rPr>
                <w:rFonts w:ascii="Arial" w:eastAsia="Arial" w:hAnsi="Arial" w:cs="Arial"/>
                <w:color w:val="000000" w:themeColor="text1"/>
                <w:sz w:val="20"/>
                <w:szCs w:val="20"/>
              </w:rPr>
              <w:t>00050246</w:t>
            </w:r>
          </w:p>
          <w:p w14:paraId="353E7122" w14:textId="1272D6F5" w:rsidR="00E449D4" w:rsidRPr="00C138CC" w:rsidRDefault="00CD17BD" w:rsidP="00CD17BD">
            <w:pPr>
              <w:jc w:val="both"/>
              <w:rPr>
                <w:rFonts w:ascii="Arial" w:hAnsi="Arial" w:cs="Arial"/>
                <w:sz w:val="20"/>
                <w:szCs w:val="20"/>
              </w:rPr>
            </w:pPr>
            <w:r w:rsidRPr="00C138CC">
              <w:rPr>
                <w:rFonts w:ascii="Arial" w:hAnsi="Arial" w:cs="Arial"/>
                <w:sz w:val="20"/>
                <w:szCs w:val="20"/>
              </w:rPr>
              <w:t xml:space="preserve"> </w:t>
            </w:r>
          </w:p>
        </w:tc>
      </w:tr>
      <w:tr w:rsidR="00E449D4" w:rsidRPr="00C138CC" w14:paraId="338952F8" w14:textId="77777777" w:rsidTr="00AC182E">
        <w:trPr>
          <w:trHeight w:val="460"/>
          <w:jc w:val="center"/>
        </w:trPr>
        <w:tc>
          <w:tcPr>
            <w:tcW w:w="2875" w:type="dxa"/>
            <w:shd w:val="clear" w:color="auto" w:fill="D9D9D9" w:themeFill="background1" w:themeFillShade="D9"/>
          </w:tcPr>
          <w:p w14:paraId="4F637EB5" w14:textId="77777777" w:rsidR="00E449D4" w:rsidRPr="00C138CC" w:rsidRDefault="00E449D4" w:rsidP="00AC182E">
            <w:pPr>
              <w:rPr>
                <w:rFonts w:ascii="Arial" w:eastAsia="Malgun Gothic" w:hAnsi="Arial" w:cs="Arial"/>
                <w:b/>
                <w:color w:val="000000" w:themeColor="text1"/>
              </w:rPr>
            </w:pPr>
            <w:r w:rsidRPr="00C138CC">
              <w:rPr>
                <w:rFonts w:ascii="Arial" w:eastAsia="Malgun Gothic" w:hAnsi="Arial" w:cs="Arial"/>
                <w:b/>
                <w:color w:val="000000" w:themeColor="text1"/>
              </w:rPr>
              <w:t>Reports To</w:t>
            </w:r>
          </w:p>
        </w:tc>
        <w:tc>
          <w:tcPr>
            <w:tcW w:w="6197" w:type="dxa"/>
          </w:tcPr>
          <w:p w14:paraId="3700C4C4" w14:textId="6D7831E4" w:rsidR="00E449D4" w:rsidRPr="00C138CC" w:rsidRDefault="00CD17BD" w:rsidP="00AC182E">
            <w:pPr>
              <w:jc w:val="both"/>
              <w:rPr>
                <w:rFonts w:ascii="Arial" w:hAnsi="Arial" w:cs="Arial"/>
                <w:sz w:val="20"/>
                <w:szCs w:val="20"/>
              </w:rPr>
            </w:pPr>
            <w:r>
              <w:rPr>
                <w:rFonts w:ascii="Arial" w:hAnsi="Arial" w:cs="Arial"/>
                <w:sz w:val="20"/>
                <w:szCs w:val="20"/>
              </w:rPr>
              <w:t>Associate Director</w:t>
            </w:r>
            <w:r w:rsidR="00BD3B68">
              <w:rPr>
                <w:rFonts w:ascii="Arial" w:hAnsi="Arial" w:cs="Arial"/>
                <w:sz w:val="20"/>
                <w:szCs w:val="20"/>
              </w:rPr>
              <w:t>,</w:t>
            </w:r>
            <w:r>
              <w:rPr>
                <w:rFonts w:ascii="Arial" w:hAnsi="Arial" w:cs="Arial"/>
                <w:sz w:val="20"/>
                <w:szCs w:val="20"/>
              </w:rPr>
              <w:t xml:space="preserve"> Internal Audit</w:t>
            </w:r>
          </w:p>
        </w:tc>
      </w:tr>
      <w:tr w:rsidR="00E449D4" w:rsidRPr="00C138CC" w14:paraId="1D60EE41" w14:textId="77777777" w:rsidTr="00AC182E">
        <w:trPr>
          <w:trHeight w:val="460"/>
          <w:jc w:val="center"/>
        </w:trPr>
        <w:tc>
          <w:tcPr>
            <w:tcW w:w="2875" w:type="dxa"/>
            <w:shd w:val="clear" w:color="auto" w:fill="D9D9D9" w:themeFill="background1" w:themeFillShade="D9"/>
          </w:tcPr>
          <w:p w14:paraId="3640BDAD" w14:textId="77777777" w:rsidR="00E449D4" w:rsidRPr="00C138CC" w:rsidRDefault="00E449D4" w:rsidP="00AC182E">
            <w:pPr>
              <w:rPr>
                <w:rFonts w:ascii="Arial" w:eastAsia="Malgun Gothic" w:hAnsi="Arial" w:cs="Arial"/>
                <w:b/>
                <w:color w:val="000000" w:themeColor="text1"/>
              </w:rPr>
            </w:pPr>
            <w:r w:rsidRPr="00C138CC">
              <w:rPr>
                <w:rFonts w:ascii="Arial" w:eastAsia="Malgun Gothic" w:hAnsi="Arial" w:cs="Arial"/>
                <w:b/>
                <w:color w:val="000000" w:themeColor="text1"/>
              </w:rPr>
              <w:t>Employment Type</w:t>
            </w:r>
          </w:p>
        </w:tc>
        <w:tc>
          <w:tcPr>
            <w:tcW w:w="6197" w:type="dxa"/>
          </w:tcPr>
          <w:p w14:paraId="6CB9578F" w14:textId="1842879D" w:rsidR="00E449D4" w:rsidRPr="00C138CC" w:rsidRDefault="00E449D4" w:rsidP="00CD17BD">
            <w:pPr>
              <w:rPr>
                <w:rFonts w:ascii="Arial" w:hAnsi="Arial" w:cs="Arial"/>
                <w:color w:val="FF0000"/>
                <w:sz w:val="20"/>
                <w:szCs w:val="20"/>
              </w:rPr>
            </w:pPr>
            <w:r w:rsidRPr="00BD3B68">
              <w:rPr>
                <w:rFonts w:ascii="Arial" w:hAnsi="Arial" w:cs="Arial"/>
                <w:sz w:val="20"/>
                <w:szCs w:val="20"/>
              </w:rPr>
              <w:t>Continuing</w:t>
            </w:r>
          </w:p>
        </w:tc>
      </w:tr>
    </w:tbl>
    <w:p w14:paraId="2AA0FD45" w14:textId="77777777" w:rsidR="00E449D4" w:rsidRPr="00C138CC" w:rsidRDefault="00E449D4" w:rsidP="00E449D4">
      <w:pPr>
        <w:tabs>
          <w:tab w:val="left" w:pos="1276"/>
        </w:tabs>
        <w:jc w:val="both"/>
        <w:rPr>
          <w:rFonts w:ascii="Arial" w:hAnsi="Arial" w:cs="Arial"/>
          <w:sz w:val="20"/>
          <w:szCs w:val="20"/>
          <w:lang w:eastAsia="en-US"/>
        </w:rPr>
      </w:pPr>
    </w:p>
    <w:p w14:paraId="7D2108BE" w14:textId="0D67565F" w:rsidR="00E449D4" w:rsidRPr="00C138CC" w:rsidRDefault="00E449D4" w:rsidP="00E449D4">
      <w:pPr>
        <w:pStyle w:val="Heading2"/>
        <w:tabs>
          <w:tab w:val="left" w:pos="862"/>
        </w:tabs>
        <w:ind w:left="142" w:firstLine="0"/>
        <w:rPr>
          <w:rFonts w:ascii="Arial" w:hAnsi="Arial" w:cs="Arial"/>
          <w:color w:val="E20917"/>
        </w:rPr>
      </w:pPr>
      <w:r w:rsidRPr="00C138CC">
        <w:rPr>
          <w:rFonts w:ascii="Arial" w:hAnsi="Arial" w:cs="Arial"/>
          <w:color w:val="E20917"/>
        </w:rPr>
        <w:t>1.0</w:t>
      </w:r>
      <w:r w:rsidRPr="00C138CC">
        <w:rPr>
          <w:rFonts w:ascii="Arial" w:hAnsi="Arial" w:cs="Arial"/>
          <w:color w:val="E20917"/>
        </w:rPr>
        <w:tab/>
        <w:t>Position Purpose</w:t>
      </w:r>
      <w:r w:rsidR="00E07EDE">
        <w:rPr>
          <w:rFonts w:ascii="Arial" w:hAnsi="Arial" w:cs="Arial"/>
          <w:color w:val="E20917"/>
        </w:rPr>
        <w:br/>
      </w:r>
    </w:p>
    <w:p w14:paraId="6676F716" w14:textId="53543EDA" w:rsidR="00187CD2" w:rsidRPr="00187CD2" w:rsidRDefault="00E07EDE" w:rsidP="00E07EDE">
      <w:pPr>
        <w:widowControl/>
        <w:autoSpaceDE/>
        <w:autoSpaceDN/>
        <w:spacing w:line="300" w:lineRule="atLeast"/>
        <w:ind w:left="851"/>
        <w:jc w:val="both"/>
        <w:rPr>
          <w:rFonts w:ascii="Arial" w:hAnsi="Arial" w:cs="Arial"/>
          <w:sz w:val="20"/>
          <w:szCs w:val="20"/>
          <w:lang w:bidi="ar-SA"/>
        </w:rPr>
      </w:pPr>
      <w:r>
        <w:rPr>
          <w:rFonts w:ascii="Arial" w:hAnsi="Arial" w:cs="Arial"/>
          <w:sz w:val="20"/>
        </w:rPr>
        <w:t>Operating under the broad direction of the</w:t>
      </w:r>
      <w:r w:rsidR="00D76C6C" w:rsidRPr="00D76C6C">
        <w:rPr>
          <w:rFonts w:ascii="Arial" w:hAnsi="Arial" w:cs="Arial"/>
          <w:sz w:val="20"/>
        </w:rPr>
        <w:t xml:space="preserve"> Associate Director, Internal Audit, the </w:t>
      </w:r>
      <w:r w:rsidR="00752492">
        <w:rPr>
          <w:rFonts w:ascii="Arial" w:hAnsi="Arial" w:cs="Arial"/>
          <w:sz w:val="20"/>
        </w:rPr>
        <w:t xml:space="preserve">Principal </w:t>
      </w:r>
      <w:r w:rsidR="00D76C6C" w:rsidRPr="00D76C6C">
        <w:rPr>
          <w:rFonts w:ascii="Arial" w:hAnsi="Arial" w:cs="Arial"/>
          <w:sz w:val="20"/>
        </w:rPr>
        <w:t xml:space="preserve">Internal Auditor </w:t>
      </w:r>
      <w:r w:rsidR="00187CD2" w:rsidRPr="00187CD2">
        <w:rPr>
          <w:rFonts w:ascii="Arial" w:hAnsi="Arial" w:cs="Arial"/>
          <w:sz w:val="20"/>
          <w:szCs w:val="20"/>
          <w:lang w:bidi="ar-SA"/>
        </w:rPr>
        <w:t xml:space="preserve">provides strategic leadership in the development, implementation and continuous improvement of the University's internal audit, assurance, risk and governance frameworks. The position leads </w:t>
      </w:r>
      <w:r w:rsidR="001A0FC4">
        <w:rPr>
          <w:rFonts w:ascii="Arial" w:hAnsi="Arial" w:cs="Arial"/>
          <w:sz w:val="20"/>
          <w:szCs w:val="20"/>
          <w:lang w:bidi="ar-SA"/>
        </w:rPr>
        <w:t xml:space="preserve">and completes </w:t>
      </w:r>
      <w:r w:rsidR="00187CD2" w:rsidRPr="00187CD2">
        <w:rPr>
          <w:rFonts w:ascii="Arial" w:hAnsi="Arial" w:cs="Arial"/>
          <w:sz w:val="20"/>
          <w:szCs w:val="20"/>
          <w:lang w:bidi="ar-SA"/>
        </w:rPr>
        <w:t>complex, enterprise-wide assurance reviews and provides independent, authoritative advice to the University Executive, Audit and Risk Committee and senior leadership on governance, risk management, internal controls, organisational performance and emerging strategic risks. The role exercises substantial professional independence and contributes to the University's overall governance effectiveness and strategic objectives.</w:t>
      </w:r>
    </w:p>
    <w:p w14:paraId="3AD9BBA5" w14:textId="0E33F37B" w:rsidR="00D76C6C" w:rsidRDefault="00D76C6C" w:rsidP="001A0FC4">
      <w:pPr>
        <w:pStyle w:val="Heading2"/>
        <w:tabs>
          <w:tab w:val="left" w:pos="862"/>
        </w:tabs>
        <w:ind w:right="850"/>
        <w:jc w:val="both"/>
        <w:rPr>
          <w:rFonts w:ascii="Arial" w:hAnsi="Arial" w:cs="Arial"/>
          <w:sz w:val="20"/>
        </w:rPr>
      </w:pPr>
    </w:p>
    <w:p w14:paraId="3C0D7325" w14:textId="77777777" w:rsidR="00E449D4" w:rsidRPr="00C138CC" w:rsidRDefault="00E449D4" w:rsidP="00E449D4">
      <w:pPr>
        <w:pStyle w:val="Heading2"/>
        <w:tabs>
          <w:tab w:val="left" w:pos="862"/>
        </w:tabs>
        <w:ind w:left="142" w:firstLine="0"/>
        <w:rPr>
          <w:rFonts w:ascii="Arial" w:hAnsi="Arial" w:cs="Arial"/>
          <w:color w:val="E20917"/>
        </w:rPr>
      </w:pPr>
      <w:r w:rsidRPr="00C138CC">
        <w:rPr>
          <w:rFonts w:ascii="Arial" w:hAnsi="Arial" w:cs="Arial"/>
          <w:color w:val="E20917"/>
        </w:rPr>
        <w:t>2.0</w:t>
      </w:r>
      <w:r w:rsidRPr="00C138CC">
        <w:rPr>
          <w:rFonts w:ascii="Arial" w:hAnsi="Arial" w:cs="Arial"/>
          <w:color w:val="E20917"/>
        </w:rPr>
        <w:tab/>
        <w:t>Eligibility Requirements</w:t>
      </w:r>
    </w:p>
    <w:p w14:paraId="6B071EA4" w14:textId="77777777" w:rsidR="00E449D4" w:rsidRPr="00C138CC" w:rsidRDefault="00E449D4" w:rsidP="00E449D4">
      <w:pPr>
        <w:pStyle w:val="Default"/>
        <w:jc w:val="both"/>
        <w:rPr>
          <w:b/>
          <w:i/>
          <w:color w:val="auto"/>
          <w:sz w:val="20"/>
          <w:szCs w:val="20"/>
        </w:rPr>
      </w:pPr>
    </w:p>
    <w:p w14:paraId="6CC0630C" w14:textId="3F586BF6" w:rsidR="002B785F" w:rsidRPr="00500A63" w:rsidRDefault="00D35839" w:rsidP="00E07EDE">
      <w:pPr>
        <w:pStyle w:val="ListParagraph"/>
        <w:numPr>
          <w:ilvl w:val="2"/>
          <w:numId w:val="1"/>
        </w:numPr>
        <w:tabs>
          <w:tab w:val="left" w:pos="1180"/>
          <w:tab w:val="left" w:pos="1181"/>
          <w:tab w:val="left" w:pos="7513"/>
        </w:tabs>
        <w:spacing w:before="117" w:line="276" w:lineRule="auto"/>
        <w:ind w:right="-22"/>
        <w:jc w:val="both"/>
        <w:rPr>
          <w:rFonts w:ascii="Segoe UI" w:hAnsi="Segoe UI" w:cs="Segoe UI"/>
          <w:sz w:val="21"/>
          <w:szCs w:val="21"/>
          <w:lang w:bidi="ar-SA"/>
        </w:rPr>
      </w:pPr>
      <w:r w:rsidRPr="7F502387">
        <w:rPr>
          <w:rFonts w:ascii="Arial" w:hAnsi="Arial" w:cs="Arial"/>
          <w:sz w:val="20"/>
          <w:szCs w:val="20"/>
        </w:rPr>
        <w:t>The occupant of this position will hold relevant tertiary qualifications and professional membership as Certified Practising Accounting (CPA) or Chartered Accountant (CA),</w:t>
      </w:r>
    </w:p>
    <w:p w14:paraId="796BE6D0" w14:textId="77777777" w:rsidR="00500A63" w:rsidRPr="00EE5D15" w:rsidRDefault="00500A63" w:rsidP="00E07EDE">
      <w:pPr>
        <w:pStyle w:val="ListParagraph"/>
        <w:numPr>
          <w:ilvl w:val="2"/>
          <w:numId w:val="1"/>
        </w:numPr>
        <w:tabs>
          <w:tab w:val="left" w:pos="1180"/>
          <w:tab w:val="left" w:pos="1181"/>
          <w:tab w:val="left" w:pos="7513"/>
        </w:tabs>
        <w:spacing w:before="117" w:line="276" w:lineRule="auto"/>
        <w:ind w:right="-22"/>
        <w:jc w:val="both"/>
        <w:rPr>
          <w:rFonts w:ascii="Arial" w:hAnsi="Arial" w:cs="Arial"/>
          <w:sz w:val="20"/>
          <w:szCs w:val="20"/>
          <w:lang w:bidi="ar-SA"/>
        </w:rPr>
      </w:pPr>
      <w:r w:rsidRPr="00EE5D15">
        <w:rPr>
          <w:rFonts w:ascii="Arial" w:hAnsi="Arial" w:cs="Arial"/>
          <w:sz w:val="20"/>
          <w:szCs w:val="20"/>
          <w:lang w:bidi="ar-SA"/>
        </w:rPr>
        <w:t>Membership of the Institute of Internal Auditors (IIA) and/or possession of a relevant internal audit qualification (e.g. Certified Internal Auditor (CIA)) would be highly desirable.</w:t>
      </w:r>
    </w:p>
    <w:p w14:paraId="618B66D8" w14:textId="34073474" w:rsidR="0054094E" w:rsidRPr="002B785F" w:rsidRDefault="004167AF" w:rsidP="00E07EDE">
      <w:pPr>
        <w:pStyle w:val="ListParagraph"/>
        <w:numPr>
          <w:ilvl w:val="2"/>
          <w:numId w:val="1"/>
        </w:numPr>
        <w:tabs>
          <w:tab w:val="left" w:pos="1180"/>
          <w:tab w:val="left" w:pos="1181"/>
          <w:tab w:val="left" w:pos="7513"/>
        </w:tabs>
        <w:spacing w:before="117" w:line="276" w:lineRule="auto"/>
        <w:ind w:right="-22"/>
        <w:jc w:val="both"/>
        <w:rPr>
          <w:rFonts w:ascii="Segoe UI" w:hAnsi="Segoe UI" w:cs="Segoe UI"/>
          <w:sz w:val="21"/>
          <w:szCs w:val="21"/>
          <w:lang w:bidi="ar-SA"/>
        </w:rPr>
      </w:pPr>
      <w:r w:rsidRPr="001A0FC4">
        <w:rPr>
          <w:rFonts w:ascii="Arial" w:hAnsi="Arial" w:cs="Arial"/>
          <w:sz w:val="20"/>
          <w:szCs w:val="20"/>
        </w:rPr>
        <w:t>Extensive</w:t>
      </w:r>
      <w:r w:rsidR="006E04BB" w:rsidRPr="001A0FC4">
        <w:rPr>
          <w:rFonts w:ascii="Arial" w:hAnsi="Arial" w:cs="Arial"/>
          <w:sz w:val="20"/>
          <w:szCs w:val="20"/>
        </w:rPr>
        <w:t xml:space="preserve"> </w:t>
      </w:r>
      <w:r w:rsidR="001010BE" w:rsidRPr="001A0FC4">
        <w:rPr>
          <w:rFonts w:ascii="Arial" w:hAnsi="Arial" w:cs="Arial"/>
          <w:sz w:val="20"/>
          <w:szCs w:val="20"/>
        </w:rPr>
        <w:t>e</w:t>
      </w:r>
      <w:r w:rsidR="00D76C6C" w:rsidRPr="001A0FC4">
        <w:rPr>
          <w:rFonts w:ascii="Arial" w:hAnsi="Arial" w:cs="Arial"/>
          <w:sz w:val="20"/>
          <w:szCs w:val="20"/>
        </w:rPr>
        <w:t xml:space="preserve">xperience in </w:t>
      </w:r>
      <w:r w:rsidR="00EE548A" w:rsidRPr="001A0FC4">
        <w:rPr>
          <w:rFonts w:ascii="Arial" w:hAnsi="Arial" w:cs="Arial"/>
          <w:sz w:val="20"/>
          <w:szCs w:val="20"/>
          <w:lang w:bidi="ar-SA"/>
        </w:rPr>
        <w:t>leading internal audit, risk</w:t>
      </w:r>
      <w:r w:rsidR="00A62FAD" w:rsidRPr="001A0FC4">
        <w:rPr>
          <w:rFonts w:ascii="Arial" w:hAnsi="Arial" w:cs="Arial"/>
          <w:sz w:val="20"/>
          <w:szCs w:val="20"/>
          <w:lang w:bidi="ar-SA"/>
        </w:rPr>
        <w:t xml:space="preserve"> and </w:t>
      </w:r>
      <w:r w:rsidR="00EE548A" w:rsidRPr="001A0FC4">
        <w:rPr>
          <w:rFonts w:ascii="Arial" w:hAnsi="Arial" w:cs="Arial"/>
          <w:sz w:val="20"/>
          <w:szCs w:val="20"/>
          <w:lang w:bidi="ar-SA"/>
        </w:rPr>
        <w:t xml:space="preserve">compliance </w:t>
      </w:r>
      <w:r w:rsidR="00A62FAD" w:rsidRPr="001A0FC4">
        <w:rPr>
          <w:rFonts w:ascii="Arial" w:hAnsi="Arial" w:cs="Arial"/>
          <w:sz w:val="20"/>
          <w:szCs w:val="20"/>
          <w:lang w:bidi="ar-SA"/>
        </w:rPr>
        <w:t>audit</w:t>
      </w:r>
      <w:r w:rsidR="00C10CCC" w:rsidRPr="001A0FC4">
        <w:rPr>
          <w:rFonts w:ascii="Arial" w:hAnsi="Arial" w:cs="Arial"/>
          <w:sz w:val="20"/>
          <w:szCs w:val="20"/>
          <w:lang w:bidi="ar-SA"/>
        </w:rPr>
        <w:t xml:space="preserve">s </w:t>
      </w:r>
      <w:r w:rsidR="00A62FAD" w:rsidRPr="001A0FC4">
        <w:rPr>
          <w:rFonts w:ascii="Arial" w:hAnsi="Arial" w:cs="Arial"/>
          <w:sz w:val="20"/>
          <w:szCs w:val="20"/>
          <w:lang w:bidi="ar-SA"/>
        </w:rPr>
        <w:t xml:space="preserve">across </w:t>
      </w:r>
      <w:r w:rsidR="005B0303" w:rsidRPr="001A0FC4">
        <w:rPr>
          <w:rFonts w:ascii="Arial" w:hAnsi="Arial" w:cs="Arial"/>
          <w:sz w:val="20"/>
          <w:szCs w:val="20"/>
          <w:lang w:bidi="ar-SA"/>
        </w:rPr>
        <w:t>diversified environments</w:t>
      </w:r>
      <w:r w:rsidR="002B785F">
        <w:rPr>
          <w:rFonts w:ascii="Arial" w:hAnsi="Arial" w:cs="Arial"/>
          <w:sz w:val="20"/>
          <w:szCs w:val="20"/>
          <w:lang w:bidi="ar-SA"/>
        </w:rPr>
        <w:t xml:space="preserve"> in a Chartered Accounting firm</w:t>
      </w:r>
      <w:r w:rsidR="005B0303" w:rsidRPr="001A0FC4">
        <w:rPr>
          <w:rFonts w:ascii="Arial" w:hAnsi="Arial" w:cs="Arial"/>
          <w:sz w:val="20"/>
          <w:szCs w:val="20"/>
          <w:lang w:bidi="ar-SA"/>
        </w:rPr>
        <w:t xml:space="preserve">. </w:t>
      </w:r>
    </w:p>
    <w:p w14:paraId="71347932" w14:textId="77777777" w:rsidR="00BE5AE0" w:rsidRDefault="005B0303" w:rsidP="00E07EDE">
      <w:pPr>
        <w:pStyle w:val="ListParagraph"/>
        <w:numPr>
          <w:ilvl w:val="2"/>
          <w:numId w:val="1"/>
        </w:numPr>
        <w:tabs>
          <w:tab w:val="left" w:pos="1180"/>
          <w:tab w:val="left" w:pos="1181"/>
          <w:tab w:val="left" w:pos="7513"/>
        </w:tabs>
        <w:spacing w:before="117" w:line="276" w:lineRule="auto"/>
        <w:ind w:right="-22"/>
        <w:jc w:val="both"/>
        <w:rPr>
          <w:rFonts w:ascii="Arial" w:hAnsi="Arial" w:cs="Arial"/>
          <w:sz w:val="20"/>
          <w:szCs w:val="20"/>
        </w:rPr>
      </w:pPr>
      <w:r>
        <w:rPr>
          <w:rFonts w:ascii="Arial" w:hAnsi="Arial" w:cs="Arial"/>
          <w:sz w:val="20"/>
          <w:szCs w:val="20"/>
        </w:rPr>
        <w:t>E</w:t>
      </w:r>
      <w:r w:rsidR="005D7D77" w:rsidRPr="0054094E">
        <w:rPr>
          <w:rFonts w:ascii="Arial" w:hAnsi="Arial" w:cs="Arial"/>
          <w:sz w:val="20"/>
          <w:szCs w:val="20"/>
        </w:rPr>
        <w:t xml:space="preserve">xtensive experience in the concepts and practice of contemporary internal auditing, risk and performance management, financial practices and procedures. </w:t>
      </w:r>
    </w:p>
    <w:p w14:paraId="3FC3667C" w14:textId="120B3B24" w:rsidR="00A73978" w:rsidRDefault="00A73978" w:rsidP="00A73978">
      <w:pPr>
        <w:pStyle w:val="ListParagraph"/>
        <w:numPr>
          <w:ilvl w:val="2"/>
          <w:numId w:val="1"/>
        </w:numPr>
        <w:tabs>
          <w:tab w:val="left" w:pos="1180"/>
          <w:tab w:val="left" w:pos="1181"/>
        </w:tabs>
        <w:spacing w:before="117" w:line="276" w:lineRule="auto"/>
        <w:ind w:right="1024"/>
        <w:jc w:val="both"/>
        <w:rPr>
          <w:rFonts w:ascii="Arial" w:hAnsi="Arial" w:cs="Arial"/>
          <w:sz w:val="20"/>
          <w:szCs w:val="20"/>
        </w:rPr>
      </w:pPr>
      <w:r>
        <w:rPr>
          <w:rFonts w:ascii="Arial" w:hAnsi="Arial" w:cs="Arial"/>
          <w:sz w:val="20"/>
          <w:szCs w:val="20"/>
        </w:rPr>
        <w:t>A</w:t>
      </w:r>
      <w:r>
        <w:rPr>
          <w:rFonts w:ascii="Arial" w:hAnsi="Arial" w:cs="Arial"/>
          <w:sz w:val="20"/>
          <w:szCs w:val="20"/>
        </w:rPr>
        <w:t>wareness of the Institute of Internal Auditors Global Auditing Standards.</w:t>
      </w:r>
    </w:p>
    <w:p w14:paraId="1AEFE0E6" w14:textId="77777777" w:rsidR="00A73978" w:rsidRDefault="00A73978" w:rsidP="00A73978">
      <w:pPr>
        <w:tabs>
          <w:tab w:val="left" w:pos="1180"/>
          <w:tab w:val="left" w:pos="1181"/>
        </w:tabs>
        <w:spacing w:before="117" w:line="276" w:lineRule="auto"/>
        <w:ind w:right="1024"/>
        <w:jc w:val="both"/>
        <w:rPr>
          <w:rFonts w:ascii="Arial" w:hAnsi="Arial" w:cs="Arial"/>
          <w:sz w:val="20"/>
          <w:szCs w:val="20"/>
        </w:rPr>
      </w:pPr>
    </w:p>
    <w:p w14:paraId="3038FF80" w14:textId="77777777" w:rsidR="00A73978" w:rsidRDefault="00A73978" w:rsidP="00A73978">
      <w:pPr>
        <w:tabs>
          <w:tab w:val="left" w:pos="1180"/>
          <w:tab w:val="left" w:pos="1181"/>
        </w:tabs>
        <w:spacing w:before="117" w:line="276" w:lineRule="auto"/>
        <w:ind w:right="1024"/>
        <w:jc w:val="both"/>
        <w:rPr>
          <w:rFonts w:ascii="Arial" w:hAnsi="Arial" w:cs="Arial"/>
          <w:sz w:val="20"/>
          <w:szCs w:val="20"/>
        </w:rPr>
      </w:pPr>
    </w:p>
    <w:p w14:paraId="64864D1A" w14:textId="77777777" w:rsidR="00A73978" w:rsidRPr="00A73978" w:rsidRDefault="00A73978" w:rsidP="00A73978">
      <w:pPr>
        <w:tabs>
          <w:tab w:val="left" w:pos="1180"/>
          <w:tab w:val="left" w:pos="1181"/>
        </w:tabs>
        <w:spacing w:before="117" w:line="276" w:lineRule="auto"/>
        <w:ind w:right="1024"/>
        <w:jc w:val="both"/>
        <w:rPr>
          <w:rFonts w:ascii="Arial" w:hAnsi="Arial" w:cs="Arial"/>
          <w:sz w:val="20"/>
          <w:szCs w:val="20"/>
        </w:rPr>
      </w:pPr>
    </w:p>
    <w:p w14:paraId="0533266D" w14:textId="32513A40" w:rsidR="002B785F" w:rsidRDefault="00E449D4" w:rsidP="002B785F">
      <w:pPr>
        <w:pStyle w:val="Heading2"/>
        <w:tabs>
          <w:tab w:val="left" w:pos="862"/>
        </w:tabs>
        <w:ind w:left="142" w:firstLine="0"/>
        <w:rPr>
          <w:rFonts w:ascii="Arial" w:hAnsi="Arial" w:cs="Arial"/>
          <w:color w:val="E20917"/>
        </w:rPr>
      </w:pPr>
      <w:r w:rsidRPr="00C138CC">
        <w:rPr>
          <w:rFonts w:ascii="Arial" w:hAnsi="Arial" w:cs="Arial"/>
          <w:color w:val="E20917"/>
        </w:rPr>
        <w:lastRenderedPageBreak/>
        <w:t>3.0</w:t>
      </w:r>
      <w:r w:rsidRPr="00C138CC">
        <w:rPr>
          <w:rFonts w:ascii="Arial" w:hAnsi="Arial" w:cs="Arial"/>
          <w:color w:val="E20917"/>
        </w:rPr>
        <w:tab/>
        <w:t>Key Responsibilities</w:t>
      </w:r>
    </w:p>
    <w:p w14:paraId="03FCFEF3" w14:textId="7E3653A0" w:rsidR="000074D6" w:rsidRPr="002B785F" w:rsidRDefault="000074D6" w:rsidP="00E07EDE">
      <w:pPr>
        <w:pStyle w:val="Heading2"/>
        <w:numPr>
          <w:ilvl w:val="0"/>
          <w:numId w:val="3"/>
        </w:numPr>
        <w:tabs>
          <w:tab w:val="left" w:pos="862"/>
        </w:tabs>
        <w:rPr>
          <w:rFonts w:ascii="Arial" w:hAnsi="Arial" w:cs="Arial"/>
          <w:color w:val="E20917"/>
        </w:rPr>
      </w:pPr>
      <w:r w:rsidRPr="002B785F">
        <w:rPr>
          <w:rFonts w:ascii="Arial" w:hAnsi="Arial" w:cs="Arial"/>
          <w:sz w:val="20"/>
          <w:szCs w:val="20"/>
          <w:lang w:bidi="ar-SA"/>
        </w:rPr>
        <w:t xml:space="preserve">Lead </w:t>
      </w:r>
      <w:r w:rsidR="001A0FC4" w:rsidRPr="002B785F">
        <w:rPr>
          <w:rFonts w:ascii="Arial" w:hAnsi="Arial" w:cs="Arial"/>
          <w:sz w:val="20"/>
          <w:szCs w:val="20"/>
          <w:lang w:bidi="ar-SA"/>
        </w:rPr>
        <w:t xml:space="preserve">and complete </w:t>
      </w:r>
      <w:r w:rsidRPr="002B785F">
        <w:rPr>
          <w:rFonts w:ascii="Arial" w:hAnsi="Arial" w:cs="Arial"/>
          <w:sz w:val="20"/>
          <w:szCs w:val="20"/>
          <w:lang w:bidi="ar-SA"/>
        </w:rPr>
        <w:t>complex enterprise-wide audits and assurance reviews involving significant organisational, financial, reputational and regulatory risk.</w:t>
      </w:r>
    </w:p>
    <w:p w14:paraId="49BB87A8" w14:textId="4549A7A2" w:rsidR="000074D6" w:rsidRPr="002B785F" w:rsidRDefault="00D76C6C" w:rsidP="002B785F">
      <w:pPr>
        <w:pStyle w:val="ListParagraph"/>
        <w:numPr>
          <w:ilvl w:val="2"/>
          <w:numId w:val="1"/>
        </w:numPr>
        <w:tabs>
          <w:tab w:val="left" w:pos="1180"/>
          <w:tab w:val="left" w:pos="1181"/>
        </w:tabs>
        <w:spacing w:before="117" w:line="276" w:lineRule="auto"/>
        <w:ind w:right="1024"/>
        <w:jc w:val="both"/>
        <w:rPr>
          <w:rFonts w:ascii="Arial" w:hAnsi="Arial" w:cs="Arial"/>
          <w:sz w:val="20"/>
        </w:rPr>
      </w:pPr>
      <w:r w:rsidRPr="00D76C6C">
        <w:rPr>
          <w:rFonts w:ascii="Arial" w:hAnsi="Arial" w:cs="Arial"/>
          <w:sz w:val="20"/>
        </w:rPr>
        <w:t xml:space="preserve">Plan, and </w:t>
      </w:r>
      <w:r w:rsidR="00E07EDE">
        <w:rPr>
          <w:rFonts w:ascii="Arial" w:hAnsi="Arial" w:cs="Arial"/>
          <w:sz w:val="20"/>
        </w:rPr>
        <w:t>lead</w:t>
      </w:r>
      <w:r w:rsidRPr="00D76C6C">
        <w:rPr>
          <w:rFonts w:ascii="Arial" w:hAnsi="Arial" w:cs="Arial"/>
          <w:sz w:val="20"/>
        </w:rPr>
        <w:t xml:space="preserve"> financial, operational, process and project assurance Internal Audits of varying complexity across university systems and operations to ensure compliance with legislation and departmental requirements</w:t>
      </w:r>
      <w:r w:rsidR="00BD3B68">
        <w:rPr>
          <w:rFonts w:ascii="Arial" w:hAnsi="Arial" w:cs="Arial"/>
          <w:sz w:val="20"/>
        </w:rPr>
        <w:t>.</w:t>
      </w:r>
    </w:p>
    <w:p w14:paraId="07DBAF93" w14:textId="07BA21B4" w:rsidR="00D76C6C" w:rsidRPr="00D76C6C" w:rsidRDefault="00D76C6C" w:rsidP="00D76C6C">
      <w:pPr>
        <w:pStyle w:val="ListParagraph"/>
        <w:numPr>
          <w:ilvl w:val="2"/>
          <w:numId w:val="1"/>
        </w:numPr>
        <w:tabs>
          <w:tab w:val="left" w:pos="1180"/>
          <w:tab w:val="left" w:pos="1181"/>
        </w:tabs>
        <w:spacing w:before="117" w:line="276" w:lineRule="auto"/>
        <w:ind w:right="1024"/>
        <w:jc w:val="both"/>
        <w:rPr>
          <w:rFonts w:ascii="Arial" w:hAnsi="Arial" w:cs="Arial"/>
          <w:sz w:val="20"/>
        </w:rPr>
      </w:pPr>
      <w:r w:rsidRPr="00D76C6C">
        <w:rPr>
          <w:rFonts w:ascii="Arial" w:hAnsi="Arial" w:cs="Arial"/>
          <w:sz w:val="20"/>
        </w:rPr>
        <w:t xml:space="preserve">Provide </w:t>
      </w:r>
      <w:r w:rsidR="00D75C0D">
        <w:rPr>
          <w:rFonts w:ascii="Arial" w:hAnsi="Arial" w:cs="Arial"/>
          <w:sz w:val="20"/>
        </w:rPr>
        <w:t>aut</w:t>
      </w:r>
      <w:r w:rsidR="003829B8">
        <w:rPr>
          <w:rFonts w:ascii="Arial" w:hAnsi="Arial" w:cs="Arial"/>
          <w:sz w:val="20"/>
        </w:rPr>
        <w:t>horitative</w:t>
      </w:r>
      <w:r w:rsidR="00D75C0D">
        <w:rPr>
          <w:rFonts w:ascii="Arial" w:hAnsi="Arial" w:cs="Arial"/>
          <w:sz w:val="20"/>
        </w:rPr>
        <w:t xml:space="preserve"> expert </w:t>
      </w:r>
      <w:r w:rsidRPr="00D76C6C">
        <w:rPr>
          <w:rFonts w:ascii="Arial" w:hAnsi="Arial" w:cs="Arial"/>
          <w:sz w:val="20"/>
        </w:rPr>
        <w:t>advice</w:t>
      </w:r>
      <w:r w:rsidR="003829B8">
        <w:rPr>
          <w:rFonts w:ascii="Arial" w:hAnsi="Arial" w:cs="Arial"/>
          <w:sz w:val="20"/>
        </w:rPr>
        <w:t xml:space="preserve"> and guidance</w:t>
      </w:r>
      <w:r w:rsidRPr="00D76C6C">
        <w:rPr>
          <w:rFonts w:ascii="Arial" w:hAnsi="Arial" w:cs="Arial"/>
          <w:sz w:val="20"/>
        </w:rPr>
        <w:t xml:space="preserve"> to management in respect to risk management practices, audit processes and compliance with legislation and standards</w:t>
      </w:r>
      <w:r w:rsidR="00BD3B68">
        <w:rPr>
          <w:rFonts w:ascii="Arial" w:hAnsi="Arial" w:cs="Arial"/>
          <w:sz w:val="20"/>
        </w:rPr>
        <w:t>.</w:t>
      </w:r>
    </w:p>
    <w:p w14:paraId="535E9C70" w14:textId="77777777" w:rsidR="007407DD" w:rsidRDefault="00D76C6C" w:rsidP="007407DD">
      <w:pPr>
        <w:pStyle w:val="ListParagraph"/>
        <w:numPr>
          <w:ilvl w:val="2"/>
          <w:numId w:val="1"/>
        </w:numPr>
        <w:tabs>
          <w:tab w:val="left" w:pos="1180"/>
          <w:tab w:val="left" w:pos="1181"/>
        </w:tabs>
        <w:spacing w:before="117" w:line="276" w:lineRule="auto"/>
        <w:ind w:right="1024"/>
        <w:jc w:val="both"/>
        <w:rPr>
          <w:rFonts w:ascii="Arial" w:hAnsi="Arial" w:cs="Arial"/>
          <w:sz w:val="20"/>
        </w:rPr>
      </w:pPr>
      <w:r w:rsidRPr="00D76C6C">
        <w:rPr>
          <w:rFonts w:ascii="Arial" w:hAnsi="Arial" w:cs="Arial"/>
          <w:sz w:val="20"/>
        </w:rPr>
        <w:t>Aid management and staff in understanding internal control weaknesses, and how to enhance the effectiveness of operations through the presentation and discussion of audit findings and practical value add recommendations</w:t>
      </w:r>
      <w:r w:rsidR="00BD3B68">
        <w:rPr>
          <w:rFonts w:ascii="Arial" w:hAnsi="Arial" w:cs="Arial"/>
          <w:sz w:val="20"/>
        </w:rPr>
        <w:t>.</w:t>
      </w:r>
    </w:p>
    <w:p w14:paraId="3DF1C63C" w14:textId="553E3B19" w:rsidR="005F2541" w:rsidRDefault="007407DD" w:rsidP="005F2541">
      <w:pPr>
        <w:pStyle w:val="ListParagraph"/>
        <w:numPr>
          <w:ilvl w:val="2"/>
          <w:numId w:val="1"/>
        </w:numPr>
        <w:tabs>
          <w:tab w:val="left" w:pos="1180"/>
          <w:tab w:val="left" w:pos="1181"/>
        </w:tabs>
        <w:spacing w:before="117" w:line="276" w:lineRule="auto"/>
        <w:ind w:right="1024"/>
        <w:jc w:val="both"/>
        <w:rPr>
          <w:rFonts w:ascii="Arial" w:hAnsi="Arial" w:cs="Arial"/>
          <w:sz w:val="20"/>
          <w:szCs w:val="20"/>
        </w:rPr>
      </w:pPr>
      <w:r w:rsidRPr="007407DD">
        <w:rPr>
          <w:rFonts w:ascii="Arial" w:hAnsi="Arial" w:cs="Arial"/>
          <w:sz w:val="20"/>
          <w:szCs w:val="20"/>
          <w:lang w:bidi="ar-SA"/>
        </w:rPr>
        <w:t>Identify emerging strategic risks and systemic control deficiencies and recommend institution-wide improvement initiatives</w:t>
      </w:r>
      <w:r w:rsidR="0008203A">
        <w:rPr>
          <w:rFonts w:ascii="Arial" w:hAnsi="Arial" w:cs="Arial"/>
          <w:sz w:val="20"/>
          <w:szCs w:val="20"/>
          <w:lang w:bidi="ar-SA"/>
        </w:rPr>
        <w:t xml:space="preserve"> </w:t>
      </w:r>
      <w:r w:rsidR="0008203A" w:rsidRPr="0008203A">
        <w:rPr>
          <w:rFonts w:ascii="Arial" w:hAnsi="Arial" w:cs="Arial"/>
          <w:sz w:val="20"/>
          <w:szCs w:val="20"/>
        </w:rPr>
        <w:t>ensuring that services comply with relevant legislation and University policies and procedures and values.</w:t>
      </w:r>
    </w:p>
    <w:p w14:paraId="5DC04B7B" w14:textId="02F1EE56" w:rsidR="006F4128" w:rsidRDefault="006F4128" w:rsidP="005F2541">
      <w:pPr>
        <w:pStyle w:val="ListParagraph"/>
        <w:numPr>
          <w:ilvl w:val="2"/>
          <w:numId w:val="1"/>
        </w:numPr>
        <w:tabs>
          <w:tab w:val="left" w:pos="1180"/>
          <w:tab w:val="left" w:pos="1181"/>
        </w:tabs>
        <w:spacing w:before="117" w:line="276" w:lineRule="auto"/>
        <w:ind w:right="1024"/>
        <w:jc w:val="both"/>
        <w:rPr>
          <w:rFonts w:ascii="Arial" w:hAnsi="Arial" w:cs="Arial"/>
          <w:sz w:val="20"/>
          <w:szCs w:val="20"/>
        </w:rPr>
      </w:pPr>
      <w:r>
        <w:rPr>
          <w:rFonts w:ascii="Arial" w:hAnsi="Arial" w:cs="Arial"/>
          <w:sz w:val="20"/>
          <w:szCs w:val="20"/>
        </w:rPr>
        <w:t>Lead initiatives to drive continuous improvement and innovation in assurance methodologies</w:t>
      </w:r>
      <w:r w:rsidR="0054335C">
        <w:rPr>
          <w:rFonts w:ascii="Arial" w:hAnsi="Arial" w:cs="Arial"/>
          <w:sz w:val="20"/>
          <w:szCs w:val="20"/>
        </w:rPr>
        <w:t>.</w:t>
      </w:r>
    </w:p>
    <w:p w14:paraId="0ED717BE" w14:textId="77777777" w:rsidR="00674B49" w:rsidRDefault="005F2541" w:rsidP="00674B49">
      <w:pPr>
        <w:pStyle w:val="ListParagraph"/>
        <w:numPr>
          <w:ilvl w:val="2"/>
          <w:numId w:val="1"/>
        </w:numPr>
        <w:tabs>
          <w:tab w:val="left" w:pos="1180"/>
          <w:tab w:val="left" w:pos="1181"/>
        </w:tabs>
        <w:spacing w:before="117" w:line="276" w:lineRule="auto"/>
        <w:ind w:right="1024"/>
        <w:jc w:val="both"/>
        <w:rPr>
          <w:rFonts w:ascii="Arial" w:hAnsi="Arial" w:cs="Arial"/>
          <w:sz w:val="20"/>
          <w:szCs w:val="20"/>
        </w:rPr>
      </w:pPr>
      <w:r w:rsidRPr="005F2541">
        <w:rPr>
          <w:rFonts w:ascii="Arial" w:hAnsi="Arial" w:cs="Arial"/>
          <w:sz w:val="20"/>
          <w:szCs w:val="20"/>
          <w:lang w:bidi="ar-SA"/>
        </w:rPr>
        <w:t>Influence strategic decision making through the provision of independent assurance and evidence-based recommendations.</w:t>
      </w:r>
    </w:p>
    <w:p w14:paraId="2C4DC2AF" w14:textId="6E890B0B" w:rsidR="007407DD" w:rsidRPr="003E1308" w:rsidRDefault="00674B49" w:rsidP="003E1308">
      <w:pPr>
        <w:pStyle w:val="ListParagraph"/>
        <w:numPr>
          <w:ilvl w:val="2"/>
          <w:numId w:val="1"/>
        </w:numPr>
        <w:tabs>
          <w:tab w:val="left" w:pos="1180"/>
          <w:tab w:val="left" w:pos="1181"/>
        </w:tabs>
        <w:spacing w:before="117" w:line="276" w:lineRule="auto"/>
        <w:ind w:right="1024"/>
        <w:jc w:val="both"/>
        <w:rPr>
          <w:rFonts w:ascii="Arial" w:hAnsi="Arial" w:cs="Arial"/>
          <w:sz w:val="20"/>
        </w:rPr>
      </w:pPr>
      <w:r w:rsidRPr="002B785F">
        <w:rPr>
          <w:rFonts w:ascii="Arial" w:hAnsi="Arial" w:cs="Arial"/>
          <w:sz w:val="20"/>
          <w:szCs w:val="20"/>
          <w:lang w:bidi="ar-SA"/>
        </w:rPr>
        <w:t>Contribute to the development of the University's risk management and corporate governance frameworks.</w:t>
      </w:r>
    </w:p>
    <w:p w14:paraId="2819AFDA" w14:textId="1225C38D" w:rsidR="00D76C6C" w:rsidRPr="00D76C6C" w:rsidRDefault="00D76C6C" w:rsidP="00D76C6C">
      <w:pPr>
        <w:pStyle w:val="ListParagraph"/>
        <w:numPr>
          <w:ilvl w:val="2"/>
          <w:numId w:val="1"/>
        </w:numPr>
        <w:tabs>
          <w:tab w:val="left" w:pos="1180"/>
          <w:tab w:val="left" w:pos="1181"/>
        </w:tabs>
        <w:spacing w:before="117" w:line="276" w:lineRule="auto"/>
        <w:ind w:right="1024"/>
        <w:jc w:val="both"/>
        <w:rPr>
          <w:rFonts w:ascii="Arial" w:hAnsi="Arial" w:cs="Arial"/>
          <w:sz w:val="20"/>
        </w:rPr>
      </w:pPr>
      <w:r w:rsidRPr="00D76C6C">
        <w:rPr>
          <w:rFonts w:ascii="Arial" w:hAnsi="Arial" w:cs="Arial"/>
          <w:sz w:val="20"/>
        </w:rPr>
        <w:t xml:space="preserve">Develop comprehensive audit reports on the results of internal audit reviews for presentation to the Audit </w:t>
      </w:r>
      <w:r w:rsidR="002B785F">
        <w:rPr>
          <w:rFonts w:ascii="Arial" w:hAnsi="Arial" w:cs="Arial"/>
          <w:sz w:val="20"/>
        </w:rPr>
        <w:t xml:space="preserve">&amp; Risk </w:t>
      </w:r>
      <w:r w:rsidRPr="00D76C6C">
        <w:rPr>
          <w:rFonts w:ascii="Arial" w:hAnsi="Arial" w:cs="Arial"/>
          <w:sz w:val="20"/>
        </w:rPr>
        <w:t>Committee as well as a range of stakeholders including Senior Managers and the University Executive</w:t>
      </w:r>
      <w:r w:rsidR="00BD3B68">
        <w:rPr>
          <w:rFonts w:ascii="Arial" w:hAnsi="Arial" w:cs="Arial"/>
          <w:sz w:val="20"/>
        </w:rPr>
        <w:t>.</w:t>
      </w:r>
      <w:r w:rsidRPr="00D76C6C">
        <w:rPr>
          <w:rFonts w:ascii="Arial" w:hAnsi="Arial" w:cs="Arial"/>
          <w:sz w:val="20"/>
        </w:rPr>
        <w:t xml:space="preserve"> </w:t>
      </w:r>
    </w:p>
    <w:p w14:paraId="3FC9E1E8" w14:textId="1BE6B9F0" w:rsidR="00D76C6C" w:rsidRPr="00D76C6C" w:rsidRDefault="00D76C6C" w:rsidP="00D76C6C">
      <w:pPr>
        <w:pStyle w:val="ListParagraph"/>
        <w:numPr>
          <w:ilvl w:val="2"/>
          <w:numId w:val="1"/>
        </w:numPr>
        <w:tabs>
          <w:tab w:val="left" w:pos="1180"/>
          <w:tab w:val="left" w:pos="1181"/>
        </w:tabs>
        <w:spacing w:before="117" w:line="276" w:lineRule="auto"/>
        <w:ind w:right="1024"/>
        <w:jc w:val="both"/>
        <w:rPr>
          <w:rFonts w:ascii="Arial" w:hAnsi="Arial" w:cs="Arial"/>
          <w:sz w:val="20"/>
        </w:rPr>
      </w:pPr>
      <w:r w:rsidRPr="00D76C6C">
        <w:rPr>
          <w:rFonts w:ascii="Arial" w:hAnsi="Arial" w:cs="Arial"/>
          <w:sz w:val="20"/>
        </w:rPr>
        <w:t>Monitor and report on the implementation status of audit actions</w:t>
      </w:r>
      <w:r w:rsidR="00BD3B68">
        <w:rPr>
          <w:rFonts w:ascii="Arial" w:hAnsi="Arial" w:cs="Arial"/>
          <w:sz w:val="20"/>
        </w:rPr>
        <w:t>.</w:t>
      </w:r>
    </w:p>
    <w:p w14:paraId="21AEEA81" w14:textId="3E8C7308" w:rsidR="001068EB" w:rsidRDefault="001068EB" w:rsidP="00DB0835">
      <w:pPr>
        <w:pStyle w:val="ListParagraph"/>
        <w:numPr>
          <w:ilvl w:val="2"/>
          <w:numId w:val="1"/>
        </w:numPr>
        <w:tabs>
          <w:tab w:val="left" w:pos="1180"/>
          <w:tab w:val="left" w:pos="1181"/>
        </w:tabs>
        <w:spacing w:before="117" w:line="276" w:lineRule="auto"/>
        <w:ind w:right="1024"/>
        <w:jc w:val="both"/>
        <w:rPr>
          <w:rFonts w:ascii="Arial" w:hAnsi="Arial" w:cs="Arial"/>
          <w:sz w:val="20"/>
        </w:rPr>
      </w:pPr>
      <w:r w:rsidRPr="001068EB">
        <w:rPr>
          <w:rFonts w:ascii="Arial" w:hAnsi="Arial" w:cs="Arial"/>
          <w:sz w:val="20"/>
          <w:szCs w:val="20"/>
        </w:rPr>
        <w:t>Analyse the operating environment to identify and escalate risks and opportunities and contribute to an insight-driven and evidence-based approac</w:t>
      </w:r>
      <w:r w:rsidR="007B4D67">
        <w:rPr>
          <w:rFonts w:ascii="Arial" w:hAnsi="Arial" w:cs="Arial"/>
          <w:sz w:val="20"/>
          <w:szCs w:val="20"/>
        </w:rPr>
        <w:t xml:space="preserve">h through the </w:t>
      </w:r>
      <w:r w:rsidR="00993CB1">
        <w:rPr>
          <w:rFonts w:ascii="Arial" w:hAnsi="Arial" w:cs="Arial"/>
          <w:sz w:val="20"/>
          <w:szCs w:val="20"/>
        </w:rPr>
        <w:t>extensive use of data analytics</w:t>
      </w:r>
      <w:r>
        <w:t xml:space="preserve">. </w:t>
      </w:r>
    </w:p>
    <w:p w14:paraId="39AD0CEF" w14:textId="5B91A935" w:rsidR="0054335C" w:rsidRPr="0054335C" w:rsidRDefault="004023BA" w:rsidP="0054335C">
      <w:pPr>
        <w:pStyle w:val="ListParagraph"/>
        <w:numPr>
          <w:ilvl w:val="2"/>
          <w:numId w:val="1"/>
        </w:numPr>
        <w:tabs>
          <w:tab w:val="left" w:pos="1180"/>
          <w:tab w:val="left" w:pos="1181"/>
        </w:tabs>
        <w:spacing w:before="117" w:line="276" w:lineRule="auto"/>
        <w:ind w:right="1024"/>
        <w:jc w:val="both"/>
        <w:rPr>
          <w:rFonts w:ascii="Arial" w:hAnsi="Arial" w:cs="Arial"/>
          <w:sz w:val="20"/>
        </w:rPr>
      </w:pPr>
      <w:r>
        <w:rPr>
          <w:rFonts w:ascii="Arial" w:hAnsi="Arial" w:cs="Arial"/>
          <w:sz w:val="20"/>
          <w:szCs w:val="20"/>
          <w:lang w:bidi="ar-SA"/>
        </w:rPr>
        <w:t>Translate the University’s str</w:t>
      </w:r>
      <w:r w:rsidR="00202F4A">
        <w:rPr>
          <w:rFonts w:ascii="Arial" w:hAnsi="Arial" w:cs="Arial"/>
          <w:sz w:val="20"/>
          <w:szCs w:val="20"/>
          <w:lang w:bidi="ar-SA"/>
        </w:rPr>
        <w:t>ategic agenda and l</w:t>
      </w:r>
      <w:r w:rsidR="00C606C1" w:rsidRPr="00C606C1">
        <w:rPr>
          <w:rFonts w:ascii="Arial" w:hAnsi="Arial" w:cs="Arial"/>
          <w:sz w:val="20"/>
          <w:szCs w:val="20"/>
          <w:lang w:bidi="ar-SA"/>
        </w:rPr>
        <w:t xml:space="preserve">ead initiatives that </w:t>
      </w:r>
      <w:r w:rsidR="00F44BE7">
        <w:rPr>
          <w:rFonts w:ascii="Arial" w:hAnsi="Arial" w:cs="Arial"/>
          <w:sz w:val="20"/>
          <w:szCs w:val="20"/>
          <w:lang w:bidi="ar-SA"/>
        </w:rPr>
        <w:t>drive</w:t>
      </w:r>
      <w:r w:rsidR="00C606C1" w:rsidRPr="00C606C1">
        <w:rPr>
          <w:rFonts w:ascii="Arial" w:hAnsi="Arial" w:cs="Arial"/>
          <w:sz w:val="20"/>
          <w:szCs w:val="20"/>
          <w:lang w:bidi="ar-SA"/>
        </w:rPr>
        <w:t xml:space="preserve"> University-wide policy, governance and operational effectiveness</w:t>
      </w:r>
      <w:r w:rsidR="00F44BE7">
        <w:rPr>
          <w:rFonts w:ascii="Arial" w:hAnsi="Arial" w:cs="Arial"/>
          <w:sz w:val="20"/>
          <w:szCs w:val="20"/>
          <w:lang w:bidi="ar-SA"/>
        </w:rPr>
        <w:t>.</w:t>
      </w:r>
    </w:p>
    <w:p w14:paraId="2880EF27" w14:textId="6223F397" w:rsidR="00757A80" w:rsidRDefault="0054335C" w:rsidP="00E07EDE">
      <w:pPr>
        <w:pStyle w:val="ListParagraph"/>
        <w:widowControl/>
        <w:numPr>
          <w:ilvl w:val="2"/>
          <w:numId w:val="1"/>
        </w:numPr>
        <w:tabs>
          <w:tab w:val="left" w:pos="1180"/>
          <w:tab w:val="left" w:pos="1181"/>
        </w:tabs>
        <w:autoSpaceDE/>
        <w:autoSpaceDN/>
        <w:spacing w:before="117" w:line="300" w:lineRule="atLeast"/>
        <w:ind w:right="1024"/>
        <w:jc w:val="both"/>
        <w:rPr>
          <w:rFonts w:ascii="Arial" w:hAnsi="Arial" w:cs="Arial"/>
          <w:sz w:val="20"/>
          <w:szCs w:val="20"/>
          <w:lang w:bidi="ar-SA"/>
        </w:rPr>
      </w:pPr>
      <w:r w:rsidRPr="002876B7">
        <w:rPr>
          <w:rFonts w:ascii="Arial" w:hAnsi="Arial" w:cs="Arial"/>
          <w:sz w:val="20"/>
          <w:szCs w:val="20"/>
          <w:lang w:bidi="ar-SA"/>
        </w:rPr>
        <w:t>Build organisational capability in governance, risk management and internal controls through training, coaching and advisory activities.</w:t>
      </w:r>
    </w:p>
    <w:p w14:paraId="216B33F3" w14:textId="71CAF99B" w:rsidR="00210959" w:rsidRPr="00210959" w:rsidRDefault="00210959" w:rsidP="00210959">
      <w:pPr>
        <w:pStyle w:val="ListParagraph"/>
        <w:numPr>
          <w:ilvl w:val="2"/>
          <w:numId w:val="1"/>
        </w:numPr>
        <w:tabs>
          <w:tab w:val="left" w:pos="1180"/>
          <w:tab w:val="left" w:pos="1181"/>
        </w:tabs>
        <w:spacing w:before="117" w:line="276" w:lineRule="auto"/>
        <w:ind w:right="1024"/>
        <w:jc w:val="both"/>
        <w:rPr>
          <w:rFonts w:ascii="Arial" w:hAnsi="Arial" w:cs="Arial"/>
          <w:sz w:val="20"/>
        </w:rPr>
      </w:pPr>
      <w:r w:rsidRPr="00D76C6C">
        <w:rPr>
          <w:rFonts w:ascii="Arial" w:hAnsi="Arial" w:cs="Arial"/>
          <w:sz w:val="20"/>
        </w:rPr>
        <w:t>Work autonomously to deliver a portfolio of audit projects within agreed timeframes</w:t>
      </w:r>
      <w:r>
        <w:rPr>
          <w:rFonts w:ascii="Arial" w:hAnsi="Arial" w:cs="Arial"/>
          <w:sz w:val="20"/>
        </w:rPr>
        <w:t>.</w:t>
      </w:r>
    </w:p>
    <w:p w14:paraId="3545A6D6" w14:textId="5D7FD75D" w:rsidR="00D76C6C" w:rsidRDefault="00254D80" w:rsidP="00D76C6C">
      <w:pPr>
        <w:pStyle w:val="ListParagraph"/>
        <w:numPr>
          <w:ilvl w:val="2"/>
          <w:numId w:val="1"/>
        </w:numPr>
        <w:tabs>
          <w:tab w:val="left" w:pos="1180"/>
          <w:tab w:val="left" w:pos="1181"/>
        </w:tabs>
        <w:spacing w:before="117" w:line="276" w:lineRule="auto"/>
        <w:ind w:right="1024"/>
        <w:jc w:val="both"/>
        <w:rPr>
          <w:rFonts w:ascii="Arial" w:hAnsi="Arial" w:cs="Arial"/>
          <w:sz w:val="20"/>
        </w:rPr>
      </w:pPr>
      <w:r w:rsidRPr="00254D80">
        <w:rPr>
          <w:rFonts w:ascii="Arial" w:hAnsi="Arial" w:cs="Arial"/>
          <w:sz w:val="20"/>
        </w:rPr>
        <w:t>May be required to take on other responsibilities, commensurate with the expectations of a role at this level, which contribute to the overall objectives of the work unit.</w:t>
      </w:r>
    </w:p>
    <w:p w14:paraId="54283F2A" w14:textId="1BFC3338" w:rsidR="00E449D4" w:rsidRPr="00C138CC" w:rsidRDefault="00E449D4" w:rsidP="00CD17BD">
      <w:pPr>
        <w:pStyle w:val="ListParagraph"/>
        <w:numPr>
          <w:ilvl w:val="2"/>
          <w:numId w:val="1"/>
        </w:numPr>
        <w:tabs>
          <w:tab w:val="left" w:pos="1180"/>
          <w:tab w:val="left" w:pos="1181"/>
        </w:tabs>
        <w:spacing w:before="117" w:line="276" w:lineRule="auto"/>
        <w:ind w:right="1024"/>
        <w:jc w:val="both"/>
        <w:rPr>
          <w:rFonts w:ascii="Arial" w:hAnsi="Arial" w:cs="Arial"/>
          <w:sz w:val="20"/>
        </w:rPr>
      </w:pPr>
      <w:r w:rsidRPr="00C138CC">
        <w:rPr>
          <w:rFonts w:ascii="Arial" w:hAnsi="Arial" w:cs="Arial"/>
          <w:sz w:val="20"/>
        </w:rPr>
        <w:t xml:space="preserve">Lead and promote compliance with relevant legislation and University policies and procedures, including equity and health &amp; safety and exhibit good practice in relation to same.  </w:t>
      </w:r>
    </w:p>
    <w:p w14:paraId="24A46EDA" w14:textId="314C4EAF" w:rsidR="00E07EDE" w:rsidRPr="00A73978" w:rsidRDefault="00E449D4" w:rsidP="00A73978">
      <w:pPr>
        <w:pStyle w:val="ListParagraph"/>
        <w:numPr>
          <w:ilvl w:val="2"/>
          <w:numId w:val="1"/>
        </w:numPr>
        <w:tabs>
          <w:tab w:val="left" w:pos="1180"/>
          <w:tab w:val="left" w:pos="1181"/>
        </w:tabs>
        <w:spacing w:before="117" w:line="276" w:lineRule="auto"/>
        <w:ind w:right="1024"/>
        <w:jc w:val="both"/>
        <w:rPr>
          <w:rFonts w:ascii="Arial" w:hAnsi="Arial" w:cs="Arial"/>
          <w:sz w:val="20"/>
        </w:rPr>
      </w:pPr>
      <w:r w:rsidRPr="00C138CC">
        <w:rPr>
          <w:rFonts w:ascii="Arial" w:hAnsi="Arial" w:cs="Arial"/>
          <w:sz w:val="20"/>
        </w:rPr>
        <w:t xml:space="preserve">Be a leading example of the principles and values embodied in the </w:t>
      </w:r>
      <w:r w:rsidRPr="00C138CC">
        <w:rPr>
          <w:rFonts w:ascii="Arial" w:hAnsi="Arial" w:cs="Arial"/>
          <w:sz w:val="20"/>
        </w:rPr>
        <w:lastRenderedPageBreak/>
        <w:t>University’s Code of Conduct, and behave, act and communicate at all times to reflect fairness, ethics and professionalism.</w:t>
      </w:r>
      <w:bookmarkStart w:id="0" w:name="3.1_Criteria"/>
      <w:bookmarkEnd w:id="0"/>
    </w:p>
    <w:p w14:paraId="15E6FE81" w14:textId="77777777" w:rsidR="00E449D4" w:rsidRPr="00C138CC" w:rsidRDefault="00E449D4" w:rsidP="00E449D4">
      <w:pPr>
        <w:pStyle w:val="Heading2"/>
        <w:tabs>
          <w:tab w:val="left" w:pos="862"/>
        </w:tabs>
        <w:ind w:left="142" w:firstLine="0"/>
        <w:rPr>
          <w:rFonts w:ascii="Arial" w:hAnsi="Arial" w:cs="Arial"/>
          <w:color w:val="E20917"/>
        </w:rPr>
      </w:pPr>
      <w:bookmarkStart w:id="1" w:name="On_the_recommendation_of_the_Vice_Chance"/>
      <w:bookmarkEnd w:id="1"/>
      <w:r w:rsidRPr="00C138CC">
        <w:rPr>
          <w:rFonts w:ascii="Arial" w:hAnsi="Arial" w:cs="Arial"/>
          <w:color w:val="E20917"/>
        </w:rPr>
        <w:t>4.0</w:t>
      </w:r>
      <w:r w:rsidRPr="00C138CC">
        <w:rPr>
          <w:rFonts w:ascii="Arial" w:hAnsi="Arial" w:cs="Arial"/>
          <w:color w:val="E20917"/>
        </w:rPr>
        <w:tab/>
        <w:t>Key Capabilities</w:t>
      </w:r>
    </w:p>
    <w:p w14:paraId="59BE554E" w14:textId="77777777" w:rsidR="00E449D4" w:rsidRPr="00C138CC" w:rsidRDefault="00E449D4" w:rsidP="00E449D4">
      <w:pPr>
        <w:pStyle w:val="ListParagraph"/>
        <w:tabs>
          <w:tab w:val="left" w:pos="1180"/>
          <w:tab w:val="left" w:pos="1181"/>
        </w:tabs>
        <w:spacing w:line="278" w:lineRule="auto"/>
        <w:ind w:right="1020"/>
        <w:rPr>
          <w:rFonts w:ascii="Arial" w:hAnsi="Arial" w:cs="Arial"/>
          <w:sz w:val="20"/>
        </w:rPr>
      </w:pPr>
    </w:p>
    <w:p w14:paraId="42E79E90" w14:textId="77777777" w:rsidR="00DC185F" w:rsidRPr="00D803DA" w:rsidRDefault="00DC185F" w:rsidP="00BD3B68">
      <w:pPr>
        <w:pStyle w:val="paragraph"/>
        <w:numPr>
          <w:ilvl w:val="0"/>
          <w:numId w:val="2"/>
        </w:numPr>
        <w:spacing w:before="0" w:beforeAutospacing="0" w:after="0" w:afterAutospacing="0"/>
        <w:ind w:left="1276" w:hanging="425"/>
        <w:jc w:val="both"/>
        <w:textAlignment w:val="baseline"/>
        <w:rPr>
          <w:rFonts w:eastAsia="Malgun Gothic"/>
        </w:rPr>
      </w:pPr>
      <w:r w:rsidRPr="00D803DA">
        <w:rPr>
          <w:rFonts w:ascii="Arial" w:hAnsi="Arial" w:cs="Arial"/>
          <w:color w:val="000000"/>
          <w:sz w:val="20"/>
          <w:szCs w:val="20"/>
        </w:rPr>
        <w:t>Griffith University identifies the attributes of resilience, flexibility, creativity, digital literacy and entrepreneurship as critical to our graduates’ success, in the rapidly changing future world of work. We have established a Griffith University Capability Development Framework to provide a common language of some of the non-technical organisation skills that will support our staff to thrive now and into the future. The Capability Development Framework will assist you to understand the current skill level of this position in the non-technical but critical skill domains that are increasingly important in a changing workplace context. </w:t>
      </w:r>
    </w:p>
    <w:p w14:paraId="4ABADDBE" w14:textId="77777777" w:rsidR="00DC185F" w:rsidRDefault="00DC185F" w:rsidP="00DC185F">
      <w:pPr>
        <w:tabs>
          <w:tab w:val="left" w:pos="1181"/>
        </w:tabs>
        <w:spacing w:line="276" w:lineRule="auto"/>
        <w:ind w:left="820" w:right="1020"/>
        <w:rPr>
          <w:rFonts w:ascii="Arial" w:hAnsi="Arial" w:cs="Arial"/>
          <w:color w:val="000000"/>
          <w:sz w:val="20"/>
          <w:szCs w:val="20"/>
          <w:lang w:bidi="ar-SA"/>
        </w:rPr>
      </w:pPr>
    </w:p>
    <w:p w14:paraId="7DD99D48" w14:textId="20A55B6F" w:rsidR="00DC185F" w:rsidRDefault="00DC185F" w:rsidP="00BD3B68">
      <w:pPr>
        <w:tabs>
          <w:tab w:val="left" w:pos="1276"/>
        </w:tabs>
        <w:spacing w:line="276" w:lineRule="auto"/>
        <w:ind w:left="1276" w:right="-46"/>
        <w:rPr>
          <w:rFonts w:ascii="Arial" w:hAnsi="Arial" w:cs="Arial"/>
          <w:sz w:val="20"/>
        </w:rPr>
      </w:pPr>
      <w:r>
        <w:rPr>
          <w:rFonts w:ascii="Arial" w:hAnsi="Arial" w:cs="Arial"/>
          <w:color w:val="000000"/>
          <w:sz w:val="20"/>
          <w:szCs w:val="20"/>
          <w:lang w:bidi="ar-SA"/>
        </w:rPr>
        <w:t xml:space="preserve">To read about some of the non-technical organisation skills for this position, please see the </w:t>
      </w:r>
      <w:r w:rsidRPr="00BD3B68">
        <w:rPr>
          <w:rFonts w:ascii="Arial" w:hAnsi="Arial" w:cs="Arial"/>
          <w:sz w:val="20"/>
          <w:szCs w:val="20"/>
          <w:lang w:bidi="ar-SA"/>
        </w:rPr>
        <w:t xml:space="preserve">Leads Self section </w:t>
      </w:r>
      <w:r>
        <w:rPr>
          <w:rFonts w:ascii="Arial" w:hAnsi="Arial" w:cs="Arial"/>
          <w:color w:val="000000"/>
          <w:sz w:val="20"/>
          <w:szCs w:val="20"/>
          <w:lang w:bidi="ar-SA"/>
        </w:rPr>
        <w:t xml:space="preserve">of our </w:t>
      </w:r>
      <w:hyperlink r:id="rId10" w:anchor="framework" w:history="1">
        <w:r>
          <w:rPr>
            <w:rStyle w:val="Hyperlink"/>
            <w:rFonts w:ascii="Arial" w:hAnsi="Arial" w:cs="Arial"/>
            <w:color w:val="0033CC"/>
            <w:sz w:val="20"/>
            <w:szCs w:val="20"/>
            <w:lang w:bidi="ar-SA"/>
          </w:rPr>
          <w:t>Capability Development Framework</w:t>
        </w:r>
      </w:hyperlink>
      <w:r>
        <w:rPr>
          <w:rFonts w:ascii="Arial" w:hAnsi="Arial" w:cs="Arial"/>
          <w:color w:val="000000"/>
          <w:sz w:val="20"/>
          <w:szCs w:val="20"/>
          <w:lang w:bidi="ar-SA"/>
        </w:rPr>
        <w:t>.</w:t>
      </w:r>
    </w:p>
    <w:p w14:paraId="052EAF21" w14:textId="0DDC766A" w:rsidR="00864393" w:rsidRDefault="00864393"/>
    <w:p w14:paraId="593CD0FF" w14:textId="77777777" w:rsidR="00EB78CB" w:rsidRDefault="00EB78CB"/>
    <w:sectPr w:rsidR="00EB78CB" w:rsidSect="00E07EDE">
      <w:footerReference w:type="default" r:id="rId11"/>
      <w:headerReference w:type="first" r:id="rId12"/>
      <w:footerReference w:type="first" r:id="rId13"/>
      <w:pgSz w:w="11906" w:h="16838"/>
      <w:pgMar w:top="1440" w:right="1841"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C6B8A1" w14:textId="77777777" w:rsidR="00AD4DA5" w:rsidRDefault="00AD4DA5" w:rsidP="00E449D4">
      <w:r>
        <w:separator/>
      </w:r>
    </w:p>
  </w:endnote>
  <w:endnote w:type="continuationSeparator" w:id="0">
    <w:p w14:paraId="289D138E" w14:textId="77777777" w:rsidR="00AD4DA5" w:rsidRDefault="00AD4DA5" w:rsidP="00E449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3EF86" w14:textId="0E0C9952" w:rsidR="00E449D4" w:rsidRDefault="00E449D4">
    <w:pPr>
      <w:pStyle w:val="Footer"/>
    </w:pPr>
    <w:r>
      <w:rPr>
        <w:noProof/>
        <w:lang w:bidi="ar-SA"/>
      </w:rPr>
      <mc:AlternateContent>
        <mc:Choice Requires="wpg">
          <w:drawing>
            <wp:anchor distT="0" distB="0" distL="114300" distR="114300" simplePos="0" relativeHeight="251656192" behindDoc="0" locked="0" layoutInCell="1" allowOverlap="1" wp14:anchorId="0C699007" wp14:editId="14628D66">
              <wp:simplePos x="0" y="0"/>
              <wp:positionH relativeFrom="page">
                <wp:posOffset>6350</wp:posOffset>
              </wp:positionH>
              <wp:positionV relativeFrom="page">
                <wp:posOffset>7245350</wp:posOffset>
              </wp:positionV>
              <wp:extent cx="3565525" cy="356425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65525" cy="3564255"/>
                        <a:chOff x="0" y="11170"/>
                        <a:chExt cx="5615" cy="5613"/>
                      </a:xfrm>
                    </wpg:grpSpPr>
                    <wps:wsp>
                      <wps:cNvPr id="3" name="Freeform 2"/>
                      <wps:cNvSpPr>
                        <a:spLocks/>
                      </wps:cNvSpPr>
                      <wps:spPr bwMode="auto">
                        <a:xfrm>
                          <a:off x="2" y="11170"/>
                          <a:ext cx="5613" cy="5613"/>
                        </a:xfrm>
                        <a:custGeom>
                          <a:avLst/>
                          <a:gdLst>
                            <a:gd name="T0" fmla="+- 0 2 2"/>
                            <a:gd name="T1" fmla="*/ T0 w 5613"/>
                            <a:gd name="T2" fmla="+- 0 11170 11170"/>
                            <a:gd name="T3" fmla="*/ 11170 h 5613"/>
                            <a:gd name="T4" fmla="+- 0 2 2"/>
                            <a:gd name="T5" fmla="*/ T4 w 5613"/>
                            <a:gd name="T6" fmla="+- 0 16783 11170"/>
                            <a:gd name="T7" fmla="*/ 16783 h 5613"/>
                            <a:gd name="T8" fmla="+- 0 5615 2"/>
                            <a:gd name="T9" fmla="*/ T8 w 5613"/>
                            <a:gd name="T10" fmla="+- 0 16783 11170"/>
                            <a:gd name="T11" fmla="*/ 16783 h 5613"/>
                            <a:gd name="T12" fmla="+- 0 2 2"/>
                            <a:gd name="T13" fmla="*/ T12 w 5613"/>
                            <a:gd name="T14" fmla="+- 0 11170 11170"/>
                            <a:gd name="T15" fmla="*/ 11170 h 5613"/>
                          </a:gdLst>
                          <a:ahLst/>
                          <a:cxnLst>
                            <a:cxn ang="0">
                              <a:pos x="T1" y="T3"/>
                            </a:cxn>
                            <a:cxn ang="0">
                              <a:pos x="T5" y="T7"/>
                            </a:cxn>
                            <a:cxn ang="0">
                              <a:pos x="T9" y="T11"/>
                            </a:cxn>
                            <a:cxn ang="0">
                              <a:pos x="T13" y="T15"/>
                            </a:cxn>
                          </a:cxnLst>
                          <a:rect l="0" t="0" r="r" b="b"/>
                          <a:pathLst>
                            <a:path w="5613" h="5613">
                              <a:moveTo>
                                <a:pt x="0" y="0"/>
                              </a:moveTo>
                              <a:lnTo>
                                <a:pt x="0" y="5613"/>
                              </a:lnTo>
                              <a:lnTo>
                                <a:pt x="5613" y="5613"/>
                              </a:lnTo>
                              <a:lnTo>
                                <a:pt x="0" y="0"/>
                              </a:lnTo>
                              <a:close/>
                            </a:path>
                          </a:pathLst>
                        </a:custGeom>
                        <a:solidFill>
                          <a:srgbClr val="F0F0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3"/>
                      <wps:cNvSpPr>
                        <a:spLocks/>
                      </wps:cNvSpPr>
                      <wps:spPr bwMode="auto">
                        <a:xfrm>
                          <a:off x="0" y="11192"/>
                          <a:ext cx="2017" cy="3700"/>
                        </a:xfrm>
                        <a:custGeom>
                          <a:avLst/>
                          <a:gdLst>
                            <a:gd name="T0" fmla="*/ 0 w 2017"/>
                            <a:gd name="T1" fmla="+- 0 11192 11192"/>
                            <a:gd name="T2" fmla="*/ 11192 h 3700"/>
                            <a:gd name="T3" fmla="*/ 0 w 2017"/>
                            <a:gd name="T4" fmla="+- 0 14892 11192"/>
                            <a:gd name="T5" fmla="*/ 14892 h 3700"/>
                            <a:gd name="T6" fmla="*/ 2017 w 2017"/>
                            <a:gd name="T7" fmla="+- 0 13189 11192"/>
                            <a:gd name="T8" fmla="*/ 13189 h 3700"/>
                            <a:gd name="T9" fmla="*/ 0 w 2017"/>
                            <a:gd name="T10" fmla="+- 0 11192 11192"/>
                            <a:gd name="T11" fmla="*/ 11192 h 3700"/>
                          </a:gdLst>
                          <a:ahLst/>
                          <a:cxnLst>
                            <a:cxn ang="0">
                              <a:pos x="T0" y="T2"/>
                            </a:cxn>
                            <a:cxn ang="0">
                              <a:pos x="T3" y="T5"/>
                            </a:cxn>
                            <a:cxn ang="0">
                              <a:pos x="T6" y="T8"/>
                            </a:cxn>
                            <a:cxn ang="0">
                              <a:pos x="T9" y="T11"/>
                            </a:cxn>
                          </a:cxnLst>
                          <a:rect l="0" t="0" r="r" b="b"/>
                          <a:pathLst>
                            <a:path w="2017" h="3700">
                              <a:moveTo>
                                <a:pt x="0" y="0"/>
                              </a:moveTo>
                              <a:lnTo>
                                <a:pt x="0" y="3700"/>
                              </a:lnTo>
                              <a:lnTo>
                                <a:pt x="2017" y="1997"/>
                              </a:lnTo>
                              <a:lnTo>
                                <a:pt x="0" y="0"/>
                              </a:lnTo>
                              <a:close/>
                            </a:path>
                          </a:pathLst>
                        </a:custGeom>
                        <a:solidFill>
                          <a:srgbClr val="D9D9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7B6EC34" id="Group 1" o:spid="_x0000_s1026" style="position:absolute;margin-left:.5pt;margin-top:570.5pt;width:280.75pt;height:280.65pt;z-index:251656192;mso-position-horizontal-relative:page;mso-position-vertical-relative:page" coordorigin=",11170" coordsize="5615,56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">
              <v:shape id="Freeform 2" o:spid="_x0000_s1027" style="position:absolute;left:2;top:11170;width:5613;height:5613;visibility:visible;mso-wrap-style:square;v-text-anchor:top" coordsize="5613,5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" path="m,l,5613r5613,l,xe" fillcolor="#f0f0f0" stroked="f">
                <v:path arrowok="t" o:connecttype="custom" o:connectlocs="0,11170;0,16783;5613,16783;0,11170" o:connectangles="0,0,0,0"/>
              </v:shape>
              <v:shape id="Freeform 3" o:spid="_x0000_s1028" style="position:absolute;top:11192;width:2017;height:3700;visibility:visible;mso-wrap-style:square;v-text-anchor:top" coordsize="2017,3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" path="m,l,3700,2017,1997,,xe" fillcolor="#d9d9d9" stroked="f">
                <v:path arrowok="t" o:connecttype="custom" o:connectlocs="0,11192;0,14892;2017,13189;0,11192" o:connectangles="0,0,0,0"/>
              </v:shape>
              <w10:wrap anchorx="page" anchory="pag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3BB94" w14:textId="23D734C8" w:rsidR="00EB78CB" w:rsidRDefault="00EB78CB">
    <w:pPr>
      <w:pStyle w:val="Footer"/>
    </w:pPr>
    <w:r>
      <w:rPr>
        <w:noProof/>
        <w:lang w:bidi="ar-SA"/>
      </w:rPr>
      <mc:AlternateContent>
        <mc:Choice Requires="wpg">
          <w:drawing>
            <wp:anchor distT="0" distB="0" distL="114300" distR="114300" simplePos="0" relativeHeight="251662336" behindDoc="0" locked="0" layoutInCell="1" allowOverlap="1" wp14:anchorId="1210B560" wp14:editId="0459EF2F">
              <wp:simplePos x="0" y="0"/>
              <wp:positionH relativeFrom="page">
                <wp:posOffset>4763</wp:posOffset>
              </wp:positionH>
              <wp:positionV relativeFrom="page">
                <wp:align>bottom</wp:align>
              </wp:positionV>
              <wp:extent cx="3565525" cy="3564255"/>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65525" cy="3564255"/>
                        <a:chOff x="0" y="11170"/>
                        <a:chExt cx="5615" cy="5613"/>
                      </a:xfrm>
                    </wpg:grpSpPr>
                    <wps:wsp>
                      <wps:cNvPr id="7" name="Freeform 2"/>
                      <wps:cNvSpPr>
                        <a:spLocks/>
                      </wps:cNvSpPr>
                      <wps:spPr bwMode="auto">
                        <a:xfrm>
                          <a:off x="2" y="11170"/>
                          <a:ext cx="5613" cy="5613"/>
                        </a:xfrm>
                        <a:custGeom>
                          <a:avLst/>
                          <a:gdLst>
                            <a:gd name="T0" fmla="+- 0 2 2"/>
                            <a:gd name="T1" fmla="*/ T0 w 5613"/>
                            <a:gd name="T2" fmla="+- 0 11170 11170"/>
                            <a:gd name="T3" fmla="*/ 11170 h 5613"/>
                            <a:gd name="T4" fmla="+- 0 2 2"/>
                            <a:gd name="T5" fmla="*/ T4 w 5613"/>
                            <a:gd name="T6" fmla="+- 0 16783 11170"/>
                            <a:gd name="T7" fmla="*/ 16783 h 5613"/>
                            <a:gd name="T8" fmla="+- 0 5615 2"/>
                            <a:gd name="T9" fmla="*/ T8 w 5613"/>
                            <a:gd name="T10" fmla="+- 0 16783 11170"/>
                            <a:gd name="T11" fmla="*/ 16783 h 5613"/>
                            <a:gd name="T12" fmla="+- 0 2 2"/>
                            <a:gd name="T13" fmla="*/ T12 w 5613"/>
                            <a:gd name="T14" fmla="+- 0 11170 11170"/>
                            <a:gd name="T15" fmla="*/ 11170 h 5613"/>
                          </a:gdLst>
                          <a:ahLst/>
                          <a:cxnLst>
                            <a:cxn ang="0">
                              <a:pos x="T1" y="T3"/>
                            </a:cxn>
                            <a:cxn ang="0">
                              <a:pos x="T5" y="T7"/>
                            </a:cxn>
                            <a:cxn ang="0">
                              <a:pos x="T9" y="T11"/>
                            </a:cxn>
                            <a:cxn ang="0">
                              <a:pos x="T13" y="T15"/>
                            </a:cxn>
                          </a:cxnLst>
                          <a:rect l="0" t="0" r="r" b="b"/>
                          <a:pathLst>
                            <a:path w="5613" h="5613">
                              <a:moveTo>
                                <a:pt x="0" y="0"/>
                              </a:moveTo>
                              <a:lnTo>
                                <a:pt x="0" y="5613"/>
                              </a:lnTo>
                              <a:lnTo>
                                <a:pt x="5613" y="5613"/>
                              </a:lnTo>
                              <a:lnTo>
                                <a:pt x="0" y="0"/>
                              </a:lnTo>
                              <a:close/>
                            </a:path>
                          </a:pathLst>
                        </a:custGeom>
                        <a:solidFill>
                          <a:srgbClr val="F0F0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3"/>
                      <wps:cNvSpPr>
                        <a:spLocks/>
                      </wps:cNvSpPr>
                      <wps:spPr bwMode="auto">
                        <a:xfrm>
                          <a:off x="0" y="11192"/>
                          <a:ext cx="2017" cy="3700"/>
                        </a:xfrm>
                        <a:custGeom>
                          <a:avLst/>
                          <a:gdLst>
                            <a:gd name="T0" fmla="*/ 0 w 2017"/>
                            <a:gd name="T1" fmla="+- 0 11192 11192"/>
                            <a:gd name="T2" fmla="*/ 11192 h 3700"/>
                            <a:gd name="T3" fmla="*/ 0 w 2017"/>
                            <a:gd name="T4" fmla="+- 0 14892 11192"/>
                            <a:gd name="T5" fmla="*/ 14892 h 3700"/>
                            <a:gd name="T6" fmla="*/ 2017 w 2017"/>
                            <a:gd name="T7" fmla="+- 0 13189 11192"/>
                            <a:gd name="T8" fmla="*/ 13189 h 3700"/>
                            <a:gd name="T9" fmla="*/ 0 w 2017"/>
                            <a:gd name="T10" fmla="+- 0 11192 11192"/>
                            <a:gd name="T11" fmla="*/ 11192 h 3700"/>
                          </a:gdLst>
                          <a:ahLst/>
                          <a:cxnLst>
                            <a:cxn ang="0">
                              <a:pos x="T0" y="T2"/>
                            </a:cxn>
                            <a:cxn ang="0">
                              <a:pos x="T3" y="T5"/>
                            </a:cxn>
                            <a:cxn ang="0">
                              <a:pos x="T6" y="T8"/>
                            </a:cxn>
                            <a:cxn ang="0">
                              <a:pos x="T9" y="T11"/>
                            </a:cxn>
                          </a:cxnLst>
                          <a:rect l="0" t="0" r="r" b="b"/>
                          <a:pathLst>
                            <a:path w="2017" h="3700">
                              <a:moveTo>
                                <a:pt x="0" y="0"/>
                              </a:moveTo>
                              <a:lnTo>
                                <a:pt x="0" y="3700"/>
                              </a:lnTo>
                              <a:lnTo>
                                <a:pt x="2017" y="1997"/>
                              </a:lnTo>
                              <a:lnTo>
                                <a:pt x="0" y="0"/>
                              </a:lnTo>
                              <a:close/>
                            </a:path>
                          </a:pathLst>
                        </a:custGeom>
                        <a:solidFill>
                          <a:srgbClr val="D9D9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3974910" id="Group 6" o:spid="_x0000_s1026" style="position:absolute;margin-left:.4pt;margin-top:0;width:280.75pt;height:280.65pt;z-index:251662336;mso-position-horizontal-relative:page;mso-position-vertical:bottom;mso-position-vertical-relative:page" coordorigin=",11170" coordsize="5615,56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">
              <v:shape id="Freeform 2" o:spid="_x0000_s1027" style="position:absolute;left:2;top:11170;width:5613;height:5613;visibility:visible;mso-wrap-style:square;v-text-anchor:top" coordsize="5613,5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" path="m,l,5613r5613,l,xe" fillcolor="#f0f0f0" stroked="f">
                <v:path arrowok="t" o:connecttype="custom" o:connectlocs="0,11170;0,16783;5613,16783;0,11170" o:connectangles="0,0,0,0"/>
              </v:shape>
              <v:shape id="Freeform 3" o:spid="_x0000_s1028" style="position:absolute;top:11192;width:2017;height:3700;visibility:visible;mso-wrap-style:square;v-text-anchor:top" coordsize="2017,3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" path="m,l,3700,2017,1997,,xe" fillcolor="#d9d9d9" stroked="f">
                <v:path arrowok="t" o:connecttype="custom" o:connectlocs="0,11192;0,14892;2017,13189;0,11192" o:connectangles="0,0,0,0"/>
              </v:shape>
              <w10:wrap anchorx="page"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8F9B7B" w14:textId="77777777" w:rsidR="00AD4DA5" w:rsidRDefault="00AD4DA5" w:rsidP="00E449D4">
      <w:r>
        <w:separator/>
      </w:r>
    </w:p>
  </w:footnote>
  <w:footnote w:type="continuationSeparator" w:id="0">
    <w:p w14:paraId="4258AFA6" w14:textId="77777777" w:rsidR="00AD4DA5" w:rsidRDefault="00AD4DA5" w:rsidP="00E449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1544D" w14:textId="30269F57" w:rsidR="00EB78CB" w:rsidRDefault="00EB78CB">
    <w:pPr>
      <w:pStyle w:val="Header"/>
    </w:pPr>
    <w:r>
      <w:rPr>
        <w:noProof/>
        <w:lang w:bidi="ar-SA"/>
      </w:rPr>
      <w:drawing>
        <wp:anchor distT="0" distB="0" distL="114300" distR="114300" simplePos="0" relativeHeight="251660288" behindDoc="1" locked="0" layoutInCell="1" allowOverlap="1" wp14:anchorId="54BBA64B" wp14:editId="57749C3B">
          <wp:simplePos x="0" y="0"/>
          <wp:positionH relativeFrom="margin">
            <wp:align>left</wp:align>
          </wp:positionH>
          <wp:positionV relativeFrom="paragraph">
            <wp:posOffset>-228917</wp:posOffset>
          </wp:positionV>
          <wp:extent cx="1553799" cy="594359"/>
          <wp:effectExtent l="0" t="0" r="0" b="0"/>
          <wp:wrapTight wrapText="bothSides">
            <wp:wrapPolygon edited="0">
              <wp:start x="1590" y="0"/>
              <wp:lineTo x="0" y="3465"/>
              <wp:lineTo x="0" y="14554"/>
              <wp:lineTo x="7153" y="20791"/>
              <wp:lineTo x="21194" y="20791"/>
              <wp:lineTo x="21194" y="0"/>
              <wp:lineTo x="16690" y="0"/>
              <wp:lineTo x="1590" y="0"/>
            </wp:wrapPolygon>
          </wp:wrapTight>
          <wp:docPr id="140811625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53799" cy="594359"/>
                  </a:xfrm>
                  <a:prstGeom prst="rect">
                    <a:avLst/>
                  </a:prstGeom>
                </pic:spPr>
              </pic:pic>
            </a:graphicData>
          </a:graphic>
          <wp14:sizeRelH relativeFrom="page">
            <wp14:pctWidth>0</wp14:pctWidth>
          </wp14:sizeRelH>
          <wp14:sizeRelV relativeFrom="page">
            <wp14:pctHeight>0</wp14:pctHeight>
          </wp14:sizeRelV>
        </wp:anchor>
      </w:drawing>
    </w:r>
    <w:r>
      <w:rPr>
        <w:noProof/>
        <w:lang w:bidi="ar-SA"/>
      </w:rPr>
      <mc:AlternateContent>
        <mc:Choice Requires="wps">
          <w:drawing>
            <wp:anchor distT="0" distB="0" distL="114300" distR="114300" simplePos="0" relativeHeight="251654144" behindDoc="0" locked="0" layoutInCell="1" allowOverlap="1" wp14:anchorId="4B68F635" wp14:editId="51FE5C6A">
              <wp:simplePos x="0" y="0"/>
              <wp:positionH relativeFrom="page">
                <wp:align>right</wp:align>
              </wp:positionH>
              <wp:positionV relativeFrom="page">
                <wp:posOffset>15557</wp:posOffset>
              </wp:positionV>
              <wp:extent cx="2921635" cy="1929765"/>
              <wp:effectExtent l="0" t="0" r="0" b="0"/>
              <wp:wrapNone/>
              <wp:docPr id="4" name="Freeform: 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21635" cy="1929765"/>
                      </a:xfrm>
                      <a:custGeom>
                        <a:avLst/>
                        <a:gdLst>
                          <a:gd name="T0" fmla="+- 0 11897 7296"/>
                          <a:gd name="T1" fmla="*/ T0 w 4601"/>
                          <a:gd name="T2" fmla="+- 0 14 14"/>
                          <a:gd name="T3" fmla="*/ 14 h 3039"/>
                          <a:gd name="T4" fmla="+- 0 7296 7296"/>
                          <a:gd name="T5" fmla="*/ T4 w 4601"/>
                          <a:gd name="T6" fmla="+- 0 14 14"/>
                          <a:gd name="T7" fmla="*/ 14 h 3039"/>
                          <a:gd name="T8" fmla="+- 0 10351 7296"/>
                          <a:gd name="T9" fmla="*/ T8 w 4601"/>
                          <a:gd name="T10" fmla="+- 0 3053 14"/>
                          <a:gd name="T11" fmla="*/ 3053 h 3039"/>
                          <a:gd name="T12" fmla="+- 0 11897 7296"/>
                          <a:gd name="T13" fmla="*/ T12 w 4601"/>
                          <a:gd name="T14" fmla="+- 0 1515 14"/>
                          <a:gd name="T15" fmla="*/ 1515 h 3039"/>
                          <a:gd name="T16" fmla="+- 0 11897 7296"/>
                          <a:gd name="T17" fmla="*/ T16 w 4601"/>
                          <a:gd name="T18" fmla="+- 0 14 14"/>
                          <a:gd name="T19" fmla="*/ 14 h 3039"/>
                        </a:gdLst>
                        <a:ahLst/>
                        <a:cxnLst>
                          <a:cxn ang="0">
                            <a:pos x="T1" y="T3"/>
                          </a:cxn>
                          <a:cxn ang="0">
                            <a:pos x="T5" y="T7"/>
                          </a:cxn>
                          <a:cxn ang="0">
                            <a:pos x="T9" y="T11"/>
                          </a:cxn>
                          <a:cxn ang="0">
                            <a:pos x="T13" y="T15"/>
                          </a:cxn>
                          <a:cxn ang="0">
                            <a:pos x="T17" y="T19"/>
                          </a:cxn>
                        </a:cxnLst>
                        <a:rect l="0" t="0" r="r" b="b"/>
                        <a:pathLst>
                          <a:path w="4601" h="3039">
                            <a:moveTo>
                              <a:pt x="4601" y="0"/>
                            </a:moveTo>
                            <a:lnTo>
                              <a:pt x="0" y="0"/>
                            </a:lnTo>
                            <a:lnTo>
                              <a:pt x="3055" y="3039"/>
                            </a:lnTo>
                            <a:lnTo>
                              <a:pt x="4601" y="1501"/>
                            </a:lnTo>
                            <a:lnTo>
                              <a:pt x="4601" y="0"/>
                            </a:lnTo>
                            <a:close/>
                          </a:path>
                        </a:pathLst>
                      </a:custGeom>
                      <a:solidFill>
                        <a:srgbClr val="EB1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D4C57D" id="Freeform: Shape 4" o:spid="_x0000_s1026" style="position:absolute;margin-left:178.85pt;margin-top:1.2pt;width:230.05pt;height:151.95pt;z-index:251654144;visibility:visible;mso-wrap-style:square;mso-width-percent:0;mso-height-percent:0;mso-wrap-distance-left:9pt;mso-wrap-distance-top:0;mso-wrap-distance-right:9pt;mso-wrap-distance-bottom:0;mso-position-horizontal:right;mso-position-horizontal-relative:page;mso-position-vertical:absolute;mso-position-vertical-relative:page;mso-width-percent:0;mso-height-percent:0;mso-width-relative:page;mso-height-relative:page;v-text-anchor:top" coordsize="4601,30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" path="m4601,l,,3055,3039,4601,1501,4601,xe" fillcolor="#eb1d22" stroked="f">
              <v:path arrowok="t" o:connecttype="custom" o:connectlocs="2921635,8890;0,8890;1939925,1938655;2921635,962025;2921635,8890" o:connectangles="0,0,0,0,0"/>
              <w10:wrap anchorx="page" anchory="page"/>
            </v:shape>
          </w:pict>
        </mc:Fallback>
      </mc:AlternateContent>
    </w:r>
    <w:r>
      <w:rPr>
        <w:noProof/>
        <w:lang w:bidi="ar-SA"/>
      </w:rPr>
      <mc:AlternateContent>
        <mc:Choice Requires="wps">
          <w:drawing>
            <wp:anchor distT="0" distB="0" distL="114300" distR="114300" simplePos="0" relativeHeight="251658240" behindDoc="0" locked="0" layoutInCell="1" allowOverlap="1" wp14:anchorId="0A98BD15" wp14:editId="1F50BD30">
              <wp:simplePos x="0" y="0"/>
              <wp:positionH relativeFrom="page">
                <wp:align>right</wp:align>
              </wp:positionH>
              <wp:positionV relativeFrom="paragraph">
                <wp:posOffset>-448310</wp:posOffset>
              </wp:positionV>
              <wp:extent cx="2834005" cy="1929765"/>
              <wp:effectExtent l="0" t="0" r="4445" b="13335"/>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4005" cy="1929765"/>
                      </a:xfrm>
                      <a:prstGeom prst="rect">
                        <a:avLst/>
                      </a:prstGeom>
                      <a:noFill/>
                      <a:ln>
                        <a:noFill/>
                      </a:ln>
                    </wps:spPr>
                    <wps:txbx>
                      <w:txbxContent>
                        <w:p w14:paraId="330897DD" w14:textId="77777777" w:rsidR="00EB78CB" w:rsidRPr="00E449D4" w:rsidRDefault="00EB78CB" w:rsidP="00EB78CB">
                          <w:pPr>
                            <w:ind w:left="1560"/>
                            <w:rPr>
                              <w:b/>
                              <w:sz w:val="16"/>
                              <w:szCs w:val="16"/>
                            </w:rPr>
                          </w:pPr>
                        </w:p>
                        <w:p w14:paraId="6BB6D36C" w14:textId="77777777" w:rsidR="00EB78CB" w:rsidRPr="00E449D4" w:rsidRDefault="00EB78CB" w:rsidP="00EB78CB">
                          <w:pPr>
                            <w:ind w:left="1560"/>
                            <w:rPr>
                              <w:rFonts w:ascii="Arial" w:eastAsia="Malgun Gothic" w:hAnsi="Arial" w:cs="Arial"/>
                              <w:b/>
                              <w:color w:val="FFFFFF" w:themeColor="background1"/>
                              <w:sz w:val="50"/>
                              <w:szCs w:val="50"/>
                            </w:rPr>
                          </w:pPr>
                          <w:r w:rsidRPr="00E449D4">
                            <w:rPr>
                              <w:rFonts w:ascii="Arial" w:eastAsia="Malgun Gothic" w:hAnsi="Arial" w:cs="Arial"/>
                              <w:b/>
                              <w:color w:val="FFFFFF" w:themeColor="background1"/>
                              <w:sz w:val="50"/>
                              <w:szCs w:val="50"/>
                            </w:rPr>
                            <w:t>Position</w:t>
                          </w:r>
                        </w:p>
                        <w:p w14:paraId="5FD9C3C7" w14:textId="77777777" w:rsidR="00EB78CB" w:rsidRPr="00E449D4" w:rsidRDefault="00EB78CB" w:rsidP="00EB78CB">
                          <w:pPr>
                            <w:ind w:left="1560"/>
                            <w:rPr>
                              <w:rFonts w:ascii="Arial" w:eastAsia="Malgun Gothic" w:hAnsi="Arial" w:cs="Arial"/>
                              <w:b/>
                              <w:color w:val="FFFFFF" w:themeColor="background1"/>
                              <w:sz w:val="50"/>
                              <w:szCs w:val="50"/>
                            </w:rPr>
                          </w:pPr>
                          <w:r w:rsidRPr="00E449D4">
                            <w:rPr>
                              <w:rFonts w:ascii="Arial" w:eastAsia="Malgun Gothic" w:hAnsi="Arial" w:cs="Arial"/>
                              <w:b/>
                              <w:color w:val="FFFFFF" w:themeColor="background1"/>
                              <w:sz w:val="50"/>
                              <w:szCs w:val="50"/>
                            </w:rPr>
                            <w:t>Description</w:t>
                          </w:r>
                        </w:p>
                        <w:p w14:paraId="403898B6" w14:textId="77777777" w:rsidR="00EB78CB" w:rsidRPr="00E449D4" w:rsidRDefault="00EB78CB" w:rsidP="00EB78CB"/>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98BD15" id="_x0000_t202" coordsize="21600,21600" o:spt="202" path="m,l,21600r21600,l21600,xe">
              <v:stroke joinstyle="miter"/>
              <v:path gradientshapeok="t" o:connecttype="rect"/>
            </v:shapetype>
            <v:shape id="Text Box 13" o:spid="_x0000_s1026" type="#_x0000_t202" style="position:absolute;margin-left:171.95pt;margin-top:-35.3pt;width:223.15pt;height:151.95pt;z-index:25165824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" filled="f" stroked="f">
              <v:textbox inset="0,0,0,0">
                <w:txbxContent>
                  <w:p w14:paraId="330897DD" w14:textId="77777777" w:rsidR="00EB78CB" w:rsidRPr="00E449D4" w:rsidRDefault="00EB78CB" w:rsidP="00EB78CB">
                    <w:pPr>
                      <w:ind w:left="1560"/>
                      <w:rPr>
                        <w:b/>
                        <w:sz w:val="16"/>
                        <w:szCs w:val="16"/>
                      </w:rPr>
                    </w:pPr>
                  </w:p>
                  <w:p w14:paraId="6BB6D36C" w14:textId="77777777" w:rsidR="00EB78CB" w:rsidRPr="00E449D4" w:rsidRDefault="00EB78CB" w:rsidP="00EB78CB">
                    <w:pPr>
                      <w:ind w:left="1560"/>
                      <w:rPr>
                        <w:rFonts w:ascii="Arial" w:eastAsia="Malgun Gothic" w:hAnsi="Arial" w:cs="Arial"/>
                        <w:b/>
                        <w:color w:val="FFFFFF" w:themeColor="background1"/>
                        <w:sz w:val="50"/>
                        <w:szCs w:val="50"/>
                      </w:rPr>
                    </w:pPr>
                    <w:r w:rsidRPr="00E449D4">
                      <w:rPr>
                        <w:rFonts w:ascii="Arial" w:eastAsia="Malgun Gothic" w:hAnsi="Arial" w:cs="Arial"/>
                        <w:b/>
                        <w:color w:val="FFFFFF" w:themeColor="background1"/>
                        <w:sz w:val="50"/>
                        <w:szCs w:val="50"/>
                      </w:rPr>
                      <w:t>Position</w:t>
                    </w:r>
                  </w:p>
                  <w:p w14:paraId="5FD9C3C7" w14:textId="77777777" w:rsidR="00EB78CB" w:rsidRPr="00E449D4" w:rsidRDefault="00EB78CB" w:rsidP="00EB78CB">
                    <w:pPr>
                      <w:ind w:left="1560"/>
                      <w:rPr>
                        <w:rFonts w:ascii="Arial" w:eastAsia="Malgun Gothic" w:hAnsi="Arial" w:cs="Arial"/>
                        <w:b/>
                        <w:color w:val="FFFFFF" w:themeColor="background1"/>
                        <w:sz w:val="50"/>
                        <w:szCs w:val="50"/>
                      </w:rPr>
                    </w:pPr>
                    <w:r w:rsidRPr="00E449D4">
                      <w:rPr>
                        <w:rFonts w:ascii="Arial" w:eastAsia="Malgun Gothic" w:hAnsi="Arial" w:cs="Arial"/>
                        <w:b/>
                        <w:color w:val="FFFFFF" w:themeColor="background1"/>
                        <w:sz w:val="50"/>
                        <w:szCs w:val="50"/>
                      </w:rPr>
                      <w:t>Description</w:t>
                    </w:r>
                  </w:p>
                  <w:p w14:paraId="403898B6" w14:textId="77777777" w:rsidR="00EB78CB" w:rsidRPr="00E449D4" w:rsidRDefault="00EB78CB" w:rsidP="00EB78CB"/>
                </w:txbxContent>
              </v:textbox>
              <w10:wrap anchorx="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933046"/>
    <w:multiLevelType w:val="multilevel"/>
    <w:tmpl w:val="B150B8CC"/>
    <w:lvl w:ilvl="0">
      <w:start w:val="3"/>
      <w:numFmt w:val="decimal"/>
      <w:lvlText w:val="%1"/>
      <w:lvlJc w:val="left"/>
      <w:pPr>
        <w:ind w:left="878" w:hanging="419"/>
      </w:pPr>
      <w:rPr>
        <w:rFonts w:hint="default"/>
        <w:lang w:val="en-AU" w:eastAsia="en-AU" w:bidi="en-AU"/>
      </w:rPr>
    </w:lvl>
    <w:lvl w:ilvl="1">
      <w:numFmt w:val="decimal"/>
      <w:lvlText w:val="%1.%2"/>
      <w:lvlJc w:val="left"/>
      <w:pPr>
        <w:ind w:left="878" w:hanging="419"/>
      </w:pPr>
      <w:rPr>
        <w:rFonts w:hint="default"/>
        <w:w w:val="100"/>
        <w:lang w:val="en-AU" w:eastAsia="en-AU" w:bidi="en-AU"/>
      </w:rPr>
    </w:lvl>
    <w:lvl w:ilvl="2">
      <w:start w:val="1"/>
      <w:numFmt w:val="bullet"/>
      <w:lvlText w:val=""/>
      <w:lvlJc w:val="left"/>
      <w:pPr>
        <w:ind w:left="1180" w:hanging="360"/>
      </w:pPr>
      <w:rPr>
        <w:rFonts w:ascii="Wingdings" w:hAnsi="Wingdings" w:hint="default"/>
        <w:color w:val="FF0000"/>
      </w:rPr>
    </w:lvl>
    <w:lvl w:ilvl="3">
      <w:numFmt w:val="bullet"/>
      <w:lvlText w:val="•"/>
      <w:lvlJc w:val="left"/>
      <w:pPr>
        <w:ind w:left="3437" w:hanging="360"/>
      </w:pPr>
      <w:rPr>
        <w:rFonts w:hint="default"/>
        <w:lang w:val="en-AU" w:eastAsia="en-AU" w:bidi="en-AU"/>
      </w:rPr>
    </w:lvl>
    <w:lvl w:ilvl="4">
      <w:numFmt w:val="bullet"/>
      <w:lvlText w:val="•"/>
      <w:lvlJc w:val="left"/>
      <w:pPr>
        <w:ind w:left="4566" w:hanging="360"/>
      </w:pPr>
      <w:rPr>
        <w:rFonts w:hint="default"/>
        <w:lang w:val="en-AU" w:eastAsia="en-AU" w:bidi="en-AU"/>
      </w:rPr>
    </w:lvl>
    <w:lvl w:ilvl="5">
      <w:numFmt w:val="bullet"/>
      <w:lvlText w:val="•"/>
      <w:lvlJc w:val="left"/>
      <w:pPr>
        <w:ind w:left="5695" w:hanging="360"/>
      </w:pPr>
      <w:rPr>
        <w:rFonts w:hint="default"/>
        <w:lang w:val="en-AU" w:eastAsia="en-AU" w:bidi="en-AU"/>
      </w:rPr>
    </w:lvl>
    <w:lvl w:ilvl="6">
      <w:numFmt w:val="bullet"/>
      <w:lvlText w:val="•"/>
      <w:lvlJc w:val="left"/>
      <w:pPr>
        <w:ind w:left="6824" w:hanging="360"/>
      </w:pPr>
      <w:rPr>
        <w:rFonts w:hint="default"/>
        <w:lang w:val="en-AU" w:eastAsia="en-AU" w:bidi="en-AU"/>
      </w:rPr>
    </w:lvl>
    <w:lvl w:ilvl="7">
      <w:numFmt w:val="bullet"/>
      <w:lvlText w:val="•"/>
      <w:lvlJc w:val="left"/>
      <w:pPr>
        <w:ind w:left="7952" w:hanging="360"/>
      </w:pPr>
      <w:rPr>
        <w:rFonts w:hint="default"/>
        <w:lang w:val="en-AU" w:eastAsia="en-AU" w:bidi="en-AU"/>
      </w:rPr>
    </w:lvl>
    <w:lvl w:ilvl="8">
      <w:numFmt w:val="bullet"/>
      <w:lvlText w:val="•"/>
      <w:lvlJc w:val="left"/>
      <w:pPr>
        <w:ind w:left="9081" w:hanging="360"/>
      </w:pPr>
      <w:rPr>
        <w:rFonts w:hint="default"/>
        <w:lang w:val="en-AU" w:eastAsia="en-AU" w:bidi="en-AU"/>
      </w:rPr>
    </w:lvl>
  </w:abstractNum>
  <w:abstractNum w:abstractNumId="1" w15:restartNumberingAfterBreak="0">
    <w:nsid w:val="64E500EA"/>
    <w:multiLevelType w:val="multilevel"/>
    <w:tmpl w:val="8B9E92A4"/>
    <w:lvl w:ilvl="0">
      <w:start w:val="1"/>
      <w:numFmt w:val="bullet"/>
      <w:lvlText w:val=""/>
      <w:lvlJc w:val="left"/>
      <w:pPr>
        <w:tabs>
          <w:tab w:val="num" w:pos="720"/>
        </w:tabs>
        <w:ind w:left="720" w:hanging="360"/>
      </w:pPr>
      <w:rPr>
        <w:rFonts w:ascii="Wingdings" w:hAnsi="Wingdings" w:hint="default"/>
        <w:color w:val="FF000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2BF674A"/>
    <w:multiLevelType w:val="hybridMultilevel"/>
    <w:tmpl w:val="A2C88122"/>
    <w:lvl w:ilvl="0" w:tplc="0C090005">
      <w:start w:val="1"/>
      <w:numFmt w:val="bullet"/>
      <w:lvlText w:val=""/>
      <w:lvlJc w:val="left"/>
      <w:pPr>
        <w:ind w:left="1180" w:hanging="360"/>
      </w:pPr>
      <w:rPr>
        <w:rFonts w:ascii="Wingdings" w:hAnsi="Wingdings" w:hint="default"/>
      </w:rPr>
    </w:lvl>
    <w:lvl w:ilvl="1" w:tplc="0C090003" w:tentative="1">
      <w:start w:val="1"/>
      <w:numFmt w:val="bullet"/>
      <w:lvlText w:val="o"/>
      <w:lvlJc w:val="left"/>
      <w:pPr>
        <w:ind w:left="1900" w:hanging="360"/>
      </w:pPr>
      <w:rPr>
        <w:rFonts w:ascii="Courier New" w:hAnsi="Courier New" w:cs="Courier New" w:hint="default"/>
      </w:rPr>
    </w:lvl>
    <w:lvl w:ilvl="2" w:tplc="0C090005" w:tentative="1">
      <w:start w:val="1"/>
      <w:numFmt w:val="bullet"/>
      <w:lvlText w:val=""/>
      <w:lvlJc w:val="left"/>
      <w:pPr>
        <w:ind w:left="2620" w:hanging="360"/>
      </w:pPr>
      <w:rPr>
        <w:rFonts w:ascii="Wingdings" w:hAnsi="Wingdings" w:hint="default"/>
      </w:rPr>
    </w:lvl>
    <w:lvl w:ilvl="3" w:tplc="0C090001" w:tentative="1">
      <w:start w:val="1"/>
      <w:numFmt w:val="bullet"/>
      <w:lvlText w:val=""/>
      <w:lvlJc w:val="left"/>
      <w:pPr>
        <w:ind w:left="3340" w:hanging="360"/>
      </w:pPr>
      <w:rPr>
        <w:rFonts w:ascii="Symbol" w:hAnsi="Symbol" w:hint="default"/>
      </w:rPr>
    </w:lvl>
    <w:lvl w:ilvl="4" w:tplc="0C090003" w:tentative="1">
      <w:start w:val="1"/>
      <w:numFmt w:val="bullet"/>
      <w:lvlText w:val="o"/>
      <w:lvlJc w:val="left"/>
      <w:pPr>
        <w:ind w:left="4060" w:hanging="360"/>
      </w:pPr>
      <w:rPr>
        <w:rFonts w:ascii="Courier New" w:hAnsi="Courier New" w:cs="Courier New" w:hint="default"/>
      </w:rPr>
    </w:lvl>
    <w:lvl w:ilvl="5" w:tplc="0C090005" w:tentative="1">
      <w:start w:val="1"/>
      <w:numFmt w:val="bullet"/>
      <w:lvlText w:val=""/>
      <w:lvlJc w:val="left"/>
      <w:pPr>
        <w:ind w:left="4780" w:hanging="360"/>
      </w:pPr>
      <w:rPr>
        <w:rFonts w:ascii="Wingdings" w:hAnsi="Wingdings" w:hint="default"/>
      </w:rPr>
    </w:lvl>
    <w:lvl w:ilvl="6" w:tplc="0C090001" w:tentative="1">
      <w:start w:val="1"/>
      <w:numFmt w:val="bullet"/>
      <w:lvlText w:val=""/>
      <w:lvlJc w:val="left"/>
      <w:pPr>
        <w:ind w:left="5500" w:hanging="360"/>
      </w:pPr>
      <w:rPr>
        <w:rFonts w:ascii="Symbol" w:hAnsi="Symbol" w:hint="default"/>
      </w:rPr>
    </w:lvl>
    <w:lvl w:ilvl="7" w:tplc="0C090003" w:tentative="1">
      <w:start w:val="1"/>
      <w:numFmt w:val="bullet"/>
      <w:lvlText w:val="o"/>
      <w:lvlJc w:val="left"/>
      <w:pPr>
        <w:ind w:left="6220" w:hanging="360"/>
      </w:pPr>
      <w:rPr>
        <w:rFonts w:ascii="Courier New" w:hAnsi="Courier New" w:cs="Courier New" w:hint="default"/>
      </w:rPr>
    </w:lvl>
    <w:lvl w:ilvl="8" w:tplc="0C090005" w:tentative="1">
      <w:start w:val="1"/>
      <w:numFmt w:val="bullet"/>
      <w:lvlText w:val=""/>
      <w:lvlJc w:val="left"/>
      <w:pPr>
        <w:ind w:left="6940" w:hanging="360"/>
      </w:pPr>
      <w:rPr>
        <w:rFonts w:ascii="Wingdings" w:hAnsi="Wingdings" w:hint="default"/>
      </w:rPr>
    </w:lvl>
  </w:abstractNum>
  <w:num w:numId="1" w16cid:durableId="938295612">
    <w:abstractNumId w:val="0"/>
  </w:num>
  <w:num w:numId="2" w16cid:durableId="768622632">
    <w:abstractNumId w:val="1"/>
  </w:num>
  <w:num w:numId="3" w16cid:durableId="2164310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49D4"/>
    <w:rsid w:val="000074D6"/>
    <w:rsid w:val="0008203A"/>
    <w:rsid w:val="000A34D4"/>
    <w:rsid w:val="001010BE"/>
    <w:rsid w:val="001068EB"/>
    <w:rsid w:val="00187CD2"/>
    <w:rsid w:val="001A0FC4"/>
    <w:rsid w:val="001C30AB"/>
    <w:rsid w:val="001F2167"/>
    <w:rsid w:val="00202F4A"/>
    <w:rsid w:val="00210959"/>
    <w:rsid w:val="00254D80"/>
    <w:rsid w:val="002876B7"/>
    <w:rsid w:val="002B785F"/>
    <w:rsid w:val="002F7294"/>
    <w:rsid w:val="003829B8"/>
    <w:rsid w:val="003E1308"/>
    <w:rsid w:val="003F6E12"/>
    <w:rsid w:val="004023BA"/>
    <w:rsid w:val="00415B57"/>
    <w:rsid w:val="004167AF"/>
    <w:rsid w:val="0045599C"/>
    <w:rsid w:val="0048065F"/>
    <w:rsid w:val="004B22ED"/>
    <w:rsid w:val="004B7C22"/>
    <w:rsid w:val="00500A63"/>
    <w:rsid w:val="0054094E"/>
    <w:rsid w:val="0054335C"/>
    <w:rsid w:val="005864FE"/>
    <w:rsid w:val="00586615"/>
    <w:rsid w:val="005B0303"/>
    <w:rsid w:val="005C4FBD"/>
    <w:rsid w:val="005D7D77"/>
    <w:rsid w:val="005F2541"/>
    <w:rsid w:val="0064513C"/>
    <w:rsid w:val="00660D43"/>
    <w:rsid w:val="00663D07"/>
    <w:rsid w:val="00674B49"/>
    <w:rsid w:val="006E04BB"/>
    <w:rsid w:val="006F4128"/>
    <w:rsid w:val="007407DD"/>
    <w:rsid w:val="00752492"/>
    <w:rsid w:val="00757A80"/>
    <w:rsid w:val="00772F05"/>
    <w:rsid w:val="007A47BE"/>
    <w:rsid w:val="007B4D67"/>
    <w:rsid w:val="007B50A0"/>
    <w:rsid w:val="007D7DFA"/>
    <w:rsid w:val="007F3E62"/>
    <w:rsid w:val="00822FC6"/>
    <w:rsid w:val="008301BF"/>
    <w:rsid w:val="00832571"/>
    <w:rsid w:val="00864393"/>
    <w:rsid w:val="008D093B"/>
    <w:rsid w:val="00951029"/>
    <w:rsid w:val="00993CB1"/>
    <w:rsid w:val="00997900"/>
    <w:rsid w:val="009A0248"/>
    <w:rsid w:val="00A54F06"/>
    <w:rsid w:val="00A62FAD"/>
    <w:rsid w:val="00A73978"/>
    <w:rsid w:val="00AD4DA5"/>
    <w:rsid w:val="00AD5F92"/>
    <w:rsid w:val="00AF7A90"/>
    <w:rsid w:val="00B913D0"/>
    <w:rsid w:val="00B9400F"/>
    <w:rsid w:val="00BD3B68"/>
    <w:rsid w:val="00BE5AE0"/>
    <w:rsid w:val="00C0399A"/>
    <w:rsid w:val="00C10CCC"/>
    <w:rsid w:val="00C22F66"/>
    <w:rsid w:val="00C606C1"/>
    <w:rsid w:val="00CB5DF4"/>
    <w:rsid w:val="00CD17BD"/>
    <w:rsid w:val="00D32025"/>
    <w:rsid w:val="00D35839"/>
    <w:rsid w:val="00D75C0D"/>
    <w:rsid w:val="00D76C6C"/>
    <w:rsid w:val="00D97A49"/>
    <w:rsid w:val="00DB0835"/>
    <w:rsid w:val="00DC185F"/>
    <w:rsid w:val="00DD3F6E"/>
    <w:rsid w:val="00E07EDE"/>
    <w:rsid w:val="00E3020D"/>
    <w:rsid w:val="00E449D4"/>
    <w:rsid w:val="00E55E03"/>
    <w:rsid w:val="00E60C42"/>
    <w:rsid w:val="00E63043"/>
    <w:rsid w:val="00EB78CB"/>
    <w:rsid w:val="00EE548A"/>
    <w:rsid w:val="00EE5D15"/>
    <w:rsid w:val="00EE750C"/>
    <w:rsid w:val="00EF688D"/>
    <w:rsid w:val="00F124B5"/>
    <w:rsid w:val="00F44BE7"/>
    <w:rsid w:val="00F70A73"/>
    <w:rsid w:val="00FD1EF3"/>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F3C6FB"/>
  <w15:chartTrackingRefBased/>
  <w15:docId w15:val="{0A0D2665-1007-4E9D-9DFB-44858F0B8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49D4"/>
    <w:pPr>
      <w:widowControl w:val="0"/>
      <w:autoSpaceDE w:val="0"/>
      <w:autoSpaceDN w:val="0"/>
      <w:spacing w:after="0" w:line="240" w:lineRule="auto"/>
    </w:pPr>
    <w:rPr>
      <w:rFonts w:ascii="Times New Roman" w:eastAsia="Times New Roman" w:hAnsi="Times New Roman" w:cs="Times New Roman"/>
      <w:lang w:eastAsia="en-AU" w:bidi="en-AU"/>
    </w:rPr>
  </w:style>
  <w:style w:type="paragraph" w:styleId="Heading2">
    <w:name w:val="heading 2"/>
    <w:basedOn w:val="Normal"/>
    <w:link w:val="Heading2Char"/>
    <w:uiPriority w:val="9"/>
    <w:unhideWhenUsed/>
    <w:qFormat/>
    <w:rsid w:val="00E449D4"/>
    <w:pPr>
      <w:spacing w:before="187"/>
      <w:ind w:left="861" w:hanging="402"/>
      <w:outlineLvl w:val="1"/>
    </w:pPr>
    <w:rPr>
      <w:rFonts w:ascii="Malgun Gothic" w:eastAsia="Malgun Gothic" w:hAnsi="Malgun Gothic" w:cs="Malgun Gothic"/>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49D4"/>
    <w:pPr>
      <w:tabs>
        <w:tab w:val="center" w:pos="4513"/>
        <w:tab w:val="right" w:pos="9026"/>
      </w:tabs>
    </w:pPr>
  </w:style>
  <w:style w:type="character" w:customStyle="1" w:styleId="HeaderChar">
    <w:name w:val="Header Char"/>
    <w:basedOn w:val="DefaultParagraphFont"/>
    <w:link w:val="Header"/>
    <w:uiPriority w:val="99"/>
    <w:rsid w:val="00E449D4"/>
  </w:style>
  <w:style w:type="paragraph" w:styleId="Footer">
    <w:name w:val="footer"/>
    <w:basedOn w:val="Normal"/>
    <w:link w:val="FooterChar"/>
    <w:uiPriority w:val="99"/>
    <w:unhideWhenUsed/>
    <w:rsid w:val="00E449D4"/>
    <w:pPr>
      <w:tabs>
        <w:tab w:val="center" w:pos="4513"/>
        <w:tab w:val="right" w:pos="9026"/>
      </w:tabs>
    </w:pPr>
  </w:style>
  <w:style w:type="character" w:customStyle="1" w:styleId="FooterChar">
    <w:name w:val="Footer Char"/>
    <w:basedOn w:val="DefaultParagraphFont"/>
    <w:link w:val="Footer"/>
    <w:uiPriority w:val="99"/>
    <w:rsid w:val="00E449D4"/>
  </w:style>
  <w:style w:type="character" w:customStyle="1" w:styleId="Heading2Char">
    <w:name w:val="Heading 2 Char"/>
    <w:basedOn w:val="DefaultParagraphFont"/>
    <w:link w:val="Heading2"/>
    <w:uiPriority w:val="9"/>
    <w:rsid w:val="00E449D4"/>
    <w:rPr>
      <w:rFonts w:ascii="Malgun Gothic" w:eastAsia="Malgun Gothic" w:hAnsi="Malgun Gothic" w:cs="Malgun Gothic"/>
      <w:sz w:val="24"/>
      <w:szCs w:val="24"/>
      <w:lang w:eastAsia="en-AU" w:bidi="en-AU"/>
    </w:rPr>
  </w:style>
  <w:style w:type="paragraph" w:styleId="ListParagraph">
    <w:name w:val="List Paragraph"/>
    <w:basedOn w:val="Normal"/>
    <w:uiPriority w:val="99"/>
    <w:qFormat/>
    <w:rsid w:val="00E449D4"/>
  </w:style>
  <w:style w:type="paragraph" w:styleId="BodyText">
    <w:name w:val="Body Text"/>
    <w:basedOn w:val="Normal"/>
    <w:link w:val="BodyTextChar"/>
    <w:uiPriority w:val="1"/>
    <w:qFormat/>
    <w:rsid w:val="00E449D4"/>
    <w:rPr>
      <w:rFonts w:ascii="Arial" w:eastAsia="Arial" w:hAnsi="Arial" w:cs="Arial"/>
      <w:sz w:val="20"/>
      <w:szCs w:val="20"/>
    </w:rPr>
  </w:style>
  <w:style w:type="character" w:customStyle="1" w:styleId="BodyTextChar">
    <w:name w:val="Body Text Char"/>
    <w:basedOn w:val="DefaultParagraphFont"/>
    <w:link w:val="BodyText"/>
    <w:uiPriority w:val="1"/>
    <w:rsid w:val="00E449D4"/>
    <w:rPr>
      <w:rFonts w:ascii="Arial" w:eastAsia="Arial" w:hAnsi="Arial" w:cs="Arial"/>
      <w:sz w:val="20"/>
      <w:szCs w:val="20"/>
      <w:lang w:eastAsia="en-AU" w:bidi="en-AU"/>
    </w:rPr>
  </w:style>
  <w:style w:type="paragraph" w:customStyle="1" w:styleId="Default">
    <w:name w:val="Default"/>
    <w:uiPriority w:val="99"/>
    <w:rsid w:val="00E449D4"/>
    <w:pPr>
      <w:autoSpaceDE w:val="0"/>
      <w:autoSpaceDN w:val="0"/>
      <w:adjustRightInd w:val="0"/>
      <w:spacing w:after="0" w:line="240" w:lineRule="auto"/>
    </w:pPr>
    <w:rPr>
      <w:rFonts w:ascii="Arial" w:eastAsia="Times New Roman" w:hAnsi="Arial" w:cs="Arial"/>
      <w:color w:val="000000"/>
      <w:sz w:val="24"/>
      <w:szCs w:val="24"/>
      <w:lang w:eastAsia="en-AU"/>
    </w:rPr>
  </w:style>
  <w:style w:type="paragraph" w:customStyle="1" w:styleId="paragraph">
    <w:name w:val="paragraph"/>
    <w:basedOn w:val="Normal"/>
    <w:rsid w:val="00DC185F"/>
    <w:pPr>
      <w:widowControl/>
      <w:autoSpaceDE/>
      <w:autoSpaceDN/>
      <w:spacing w:before="100" w:beforeAutospacing="1" w:after="100" w:afterAutospacing="1"/>
    </w:pPr>
    <w:rPr>
      <w:sz w:val="24"/>
      <w:szCs w:val="24"/>
      <w:lang w:bidi="ar-SA"/>
    </w:rPr>
  </w:style>
  <w:style w:type="character" w:styleId="Hyperlink">
    <w:name w:val="Hyperlink"/>
    <w:basedOn w:val="DefaultParagraphFont"/>
    <w:uiPriority w:val="99"/>
    <w:semiHidden/>
    <w:unhideWhenUsed/>
    <w:rsid w:val="00DC185F"/>
    <w:rPr>
      <w:color w:val="0563C1" w:themeColor="hyperlink"/>
      <w:u w:val="single"/>
    </w:rPr>
  </w:style>
  <w:style w:type="paragraph" w:styleId="Revision">
    <w:name w:val="Revision"/>
    <w:hidden/>
    <w:uiPriority w:val="99"/>
    <w:semiHidden/>
    <w:rsid w:val="00BD3B68"/>
    <w:pPr>
      <w:spacing w:after="0" w:line="240" w:lineRule="auto"/>
    </w:pPr>
    <w:rPr>
      <w:rFonts w:ascii="Times New Roman" w:eastAsia="Times New Roman" w:hAnsi="Times New Roman" w:cs="Times New Roman"/>
      <w:lang w:eastAsia="en-AU" w:bidi="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intranet.secure.griffith.edu.au/employment/learning-and-development/specialist-programs/capability-development-framewor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AF53E41FAEDFF4EA00E9837F9632D4A" ma:contentTypeVersion="2" ma:contentTypeDescription="Create a new document." ma:contentTypeScope="" ma:versionID="316de3aa20c78108164f24dbeec2411d">
  <xsd:schema xmlns:xsd="http://www.w3.org/2001/XMLSchema" xmlns:xs="http://www.w3.org/2001/XMLSchema" xmlns:p="http://schemas.microsoft.com/office/2006/metadata/properties" xmlns:ns2="057fd6cf-2747-4351-bcc7-a8f1f2ec894f" targetNamespace="http://schemas.microsoft.com/office/2006/metadata/properties" ma:root="true" ma:fieldsID="566102c657634cfcba840bfd61750519" ns2:_="">
    <xsd:import namespace="057fd6cf-2747-4351-bcc7-a8f1f2ec894f"/>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7fd6cf-2747-4351-bcc7-a8f1f2ec8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80DFDCB-AD1D-42D5-83B4-322417387E9D}">
  <ds:schemaRefs>
    <ds:schemaRef ds:uri="http://schemas.microsoft.com/sharepoint/v3/contenttype/forms"/>
  </ds:schemaRefs>
</ds:datastoreItem>
</file>

<file path=customXml/itemProps2.xml><?xml version="1.0" encoding="utf-8"?>
<ds:datastoreItem xmlns:ds="http://schemas.openxmlformats.org/officeDocument/2006/customXml" ds:itemID="{1B989C78-86E5-4B96-B4EA-B315ABAAED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7fd6cf-2747-4351-bcc7-a8f1f2ec89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A6BD3A4-B4DC-4E84-911E-1BCDB7E6F50D}">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7813d304-6b29-4665-8b54-f78174ce4772}" enabled="1" method="Privileged" siteId="{5a7cc8ab-a4dc-4f9b-bf60-66714049ad62}" removed="0"/>
</clbl:labelList>
</file>

<file path=docProps/app.xml><?xml version="1.0" encoding="utf-8"?>
<Properties xmlns="http://schemas.openxmlformats.org/officeDocument/2006/extended-properties" xmlns:vt="http://schemas.openxmlformats.org/officeDocument/2006/docPropsVTypes">
  <Template>Normal</Template>
  <TotalTime>2</TotalTime>
  <Pages>3</Pages>
  <Words>815</Words>
  <Characters>4647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Jelena Dekker</dc:creator>
  <cp:keywords/>
  <dc:description/>
  <cp:lastModifiedBy>Wayne Beech</cp:lastModifiedBy>
  <cp:revision>3</cp:revision>
  <dcterms:created xsi:type="dcterms:W3CDTF">2026-10-15T00:11:00Z</dcterms:created>
  <dcterms:modified xsi:type="dcterms:W3CDTF">2026-10-15T00:13:00Z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0x0101005AF53E41FAEDFF4EA00E9837F9632D4A</vt:lpwstr>
  </property>
  <property fmtid="{D5CDD505-2E9C-101B-9397-08002B2CF9AE}" pid="3" name="MSIP_Label_adaa4be3-f650-4692-881a-64ae220cbceb_Enabled">
    <vt:lpwstr>true</vt:lpwstr>
  </property>
  <property fmtid="{D5CDD505-2E9C-101B-9397-08002B2CF9AE}" pid="4" name="MSIP_Label_adaa4be3-f650-4692-881a-64ae220cbceb_SetDate">
    <vt:lpwstr>2023-01-25T03:02:38Z</vt:lpwstr>
  </property>
  <property fmtid="{D5CDD505-2E9C-101B-9397-08002B2CF9AE}" pid="5" name="MSIP_Label_adaa4be3-f650-4692-881a-64ae220cbceb_Method">
    <vt:lpwstr>Standard</vt:lpwstr>
  </property>
  <property fmtid="{D5CDD505-2E9C-101B-9397-08002B2CF9AE}" pid="6" name="MSIP_Label_adaa4be3-f650-4692-881a-64ae220cbceb_Name">
    <vt:lpwstr>OFFICIAL  Internal (External sharing)</vt:lpwstr>
  </property>
  <property fmtid="{D5CDD505-2E9C-101B-9397-08002B2CF9AE}" pid="7" name="MSIP_Label_adaa4be3-f650-4692-881a-64ae220cbceb_SiteId">
    <vt:lpwstr>5a7cc8ab-a4dc-4f9b-bf60-66714049ad62</vt:lpwstr>
  </property>
  <property fmtid="{D5CDD505-2E9C-101B-9397-08002B2CF9AE}" pid="8" name="MSIP_Label_adaa4be3-f650-4692-881a-64ae220cbceb_ActionId">
    <vt:lpwstr>2f3f54ec-0e41-465a-8cc6-09da0e88b48f</vt:lpwstr>
  </property>
  <property fmtid="{D5CDD505-2E9C-101B-9397-08002B2CF9AE}" pid="9" name="MSIP_Label_adaa4be3-f650-4692-881a-64ae220cbceb_ContentBits">
    <vt:lpwstr>0</vt:lpwstr>
  </property>
</Properties>
</file>