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442B8C5" w:rsidR="00E449D4" w:rsidRPr="00C138CC" w:rsidRDefault="007C1212" w:rsidP="00AC182E">
            <w:pPr>
              <w:jc w:val="both"/>
              <w:rPr>
                <w:rFonts w:ascii="Arial" w:hAnsi="Arial" w:cs="Arial"/>
                <w:sz w:val="20"/>
                <w:szCs w:val="20"/>
              </w:rPr>
            </w:pPr>
            <w:r>
              <w:rPr>
                <w:rFonts w:ascii="Arial" w:hAnsi="Arial" w:cs="Arial"/>
                <w:sz w:val="20"/>
                <w:szCs w:val="20"/>
              </w:rPr>
              <w:t>Assistant Project Manager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2B7D228" w:rsidR="00E449D4" w:rsidRPr="00C138CC" w:rsidRDefault="007C1212" w:rsidP="00AC182E">
            <w:pPr>
              <w:jc w:val="both"/>
              <w:rPr>
                <w:rFonts w:ascii="Arial" w:hAnsi="Arial" w:cs="Arial"/>
                <w:sz w:val="20"/>
                <w:szCs w:val="20"/>
              </w:rPr>
            </w:pPr>
            <w:r w:rsidRPr="006A04F5">
              <w:rPr>
                <w:rFonts w:ascii="Arial" w:hAnsi="Arial" w:cs="Arial"/>
                <w:sz w:val="20"/>
                <w:szCs w:val="20"/>
              </w:rPr>
              <w:t>Corporate Services</w:t>
            </w:r>
            <w:r>
              <w:rPr>
                <w:rFonts w:ascii="Arial" w:hAnsi="Arial" w:cs="Arial"/>
                <w:sz w:val="20"/>
                <w:szCs w:val="20"/>
              </w:rPr>
              <w:t>/ Major Projects and Planning</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40BAC02B" w:rsidR="00E449D4" w:rsidRPr="00C138CC" w:rsidRDefault="000328D2" w:rsidP="00AC182E">
            <w:pPr>
              <w:jc w:val="both"/>
              <w:rPr>
                <w:rFonts w:ascii="Arial" w:hAnsi="Arial" w:cs="Arial"/>
                <w:sz w:val="20"/>
                <w:szCs w:val="20"/>
              </w:rPr>
            </w:pPr>
            <w:r>
              <w:rPr>
                <w:rFonts w:ascii="Arial" w:hAnsi="Arial" w:cs="Arial"/>
                <w:sz w:val="20"/>
                <w:szCs w:val="20"/>
              </w:rPr>
              <w:t>HEW 7</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C9F5E33" w:rsidR="00E449D4" w:rsidRPr="00C138CC" w:rsidRDefault="000A11BF" w:rsidP="00AC182E">
            <w:pPr>
              <w:jc w:val="both"/>
              <w:rPr>
                <w:rFonts w:ascii="Arial" w:hAnsi="Arial" w:cs="Arial"/>
                <w:sz w:val="20"/>
                <w:szCs w:val="20"/>
              </w:rPr>
            </w:pPr>
            <w:r w:rsidRPr="000A11BF">
              <w:rPr>
                <w:rFonts w:ascii="Arial" w:hAnsi="Arial" w:cs="Arial"/>
                <w:sz w:val="20"/>
                <w:szCs w:val="20"/>
              </w:rPr>
              <w:t>00063639 </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5E8A323" w:rsidR="00E449D4" w:rsidRPr="00C138CC" w:rsidRDefault="007C1212" w:rsidP="00AC182E">
            <w:pPr>
              <w:jc w:val="both"/>
              <w:rPr>
                <w:rFonts w:ascii="Arial" w:hAnsi="Arial" w:cs="Arial"/>
                <w:sz w:val="20"/>
                <w:szCs w:val="20"/>
              </w:rPr>
            </w:pPr>
            <w:r w:rsidRPr="39DF87EE">
              <w:rPr>
                <w:rFonts w:ascii="Arial" w:hAnsi="Arial" w:cs="Arial"/>
                <w:sz w:val="20"/>
                <w:szCs w:val="20"/>
              </w:rPr>
              <w:t xml:space="preserve">Senior </w:t>
            </w:r>
            <w:r>
              <w:rPr>
                <w:rFonts w:ascii="Arial" w:hAnsi="Arial" w:cs="Arial"/>
                <w:sz w:val="20"/>
                <w:szCs w:val="20"/>
              </w:rPr>
              <w:t>Project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840F33D" w:rsidR="00E449D4" w:rsidRPr="00D6317E" w:rsidRDefault="007C1212" w:rsidP="00AC182E">
            <w:pPr>
              <w:rPr>
                <w:rFonts w:ascii="Arial" w:hAnsi="Arial" w:cs="Arial"/>
                <w:color w:val="000000" w:themeColor="text1"/>
                <w:sz w:val="20"/>
                <w:szCs w:val="20"/>
              </w:rPr>
            </w:pPr>
            <w:r>
              <w:rPr>
                <w:rFonts w:ascii="Arial" w:hAnsi="Arial" w:cs="Arial"/>
                <w:color w:val="000000" w:themeColor="text1"/>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569C1F3" w14:textId="77777777" w:rsidR="007C1212" w:rsidRDefault="007C1212" w:rsidP="007C1212">
      <w:pPr>
        <w:pStyle w:val="Heading2"/>
        <w:tabs>
          <w:tab w:val="left" w:pos="862"/>
        </w:tabs>
        <w:ind w:left="851" w:right="850" w:firstLine="0"/>
        <w:rPr>
          <w:rFonts w:ascii="Arial" w:hAnsi="Arial" w:cs="Arial"/>
          <w:sz w:val="20"/>
          <w:szCs w:val="20"/>
        </w:rPr>
      </w:pPr>
      <w:r>
        <w:rPr>
          <w:rFonts w:ascii="Arial" w:hAnsi="Arial" w:cs="Arial"/>
          <w:sz w:val="20"/>
          <w:szCs w:val="20"/>
        </w:rPr>
        <w:t xml:space="preserve">The Assistant Project Manager will support the </w:t>
      </w:r>
      <w:r w:rsidRPr="007B048D">
        <w:rPr>
          <w:rFonts w:ascii="Arial" w:hAnsi="Arial" w:cs="Arial"/>
          <w:sz w:val="20"/>
          <w:szCs w:val="20"/>
        </w:rPr>
        <w:t xml:space="preserve">effective </w:t>
      </w:r>
      <w:r>
        <w:rPr>
          <w:rFonts w:ascii="Arial" w:hAnsi="Arial" w:cs="Arial"/>
          <w:sz w:val="20"/>
          <w:szCs w:val="20"/>
        </w:rPr>
        <w:t xml:space="preserve">development </w:t>
      </w:r>
      <w:r w:rsidRPr="007B048D">
        <w:rPr>
          <w:rFonts w:ascii="Arial" w:hAnsi="Arial" w:cs="Arial"/>
          <w:sz w:val="20"/>
          <w:szCs w:val="20"/>
        </w:rPr>
        <w:t xml:space="preserve">delivery of </w:t>
      </w:r>
      <w:r>
        <w:rPr>
          <w:rFonts w:ascii="Arial" w:hAnsi="Arial" w:cs="Arial"/>
          <w:sz w:val="20"/>
          <w:szCs w:val="20"/>
        </w:rPr>
        <w:t>Major Project and Planning (MPP)</w:t>
      </w:r>
      <w:r w:rsidRPr="007B048D">
        <w:rPr>
          <w:rFonts w:ascii="Arial" w:hAnsi="Arial" w:cs="Arial"/>
          <w:sz w:val="20"/>
          <w:szCs w:val="20"/>
        </w:rPr>
        <w:t xml:space="preserve"> works</w:t>
      </w:r>
      <w:r>
        <w:rPr>
          <w:rFonts w:ascii="Arial" w:hAnsi="Arial" w:cs="Arial"/>
          <w:sz w:val="20"/>
          <w:szCs w:val="20"/>
        </w:rPr>
        <w:t xml:space="preserve"> across the building lifecycle including </w:t>
      </w:r>
      <w:r w:rsidRPr="007B048D">
        <w:rPr>
          <w:rFonts w:ascii="Arial" w:hAnsi="Arial" w:cs="Arial"/>
          <w:sz w:val="20"/>
          <w:szCs w:val="20"/>
        </w:rPr>
        <w:t>coordination,</w:t>
      </w:r>
      <w:r>
        <w:rPr>
          <w:rFonts w:ascii="Arial" w:hAnsi="Arial" w:cs="Arial"/>
          <w:sz w:val="20"/>
          <w:szCs w:val="20"/>
        </w:rPr>
        <w:t xml:space="preserve"> maintaining documentation (including contracts), communication between stakeholders internal and external to the University,</w:t>
      </w:r>
      <w:r w:rsidRPr="007B048D">
        <w:rPr>
          <w:rFonts w:ascii="Arial" w:hAnsi="Arial" w:cs="Arial"/>
          <w:sz w:val="20"/>
          <w:szCs w:val="20"/>
        </w:rPr>
        <w:t xml:space="preserve"> </w:t>
      </w:r>
      <w:r>
        <w:rPr>
          <w:rFonts w:ascii="Arial" w:hAnsi="Arial" w:cs="Arial"/>
          <w:sz w:val="20"/>
          <w:szCs w:val="20"/>
        </w:rPr>
        <w:t xml:space="preserve">budget management, quality control and after build defect support. </w:t>
      </w:r>
      <w:r w:rsidRPr="000C2527">
        <w:rPr>
          <w:rFonts w:ascii="Arial" w:hAnsi="Arial" w:cs="Arial"/>
          <w:sz w:val="20"/>
          <w:szCs w:val="20"/>
        </w:rPr>
        <w:t>This position is required to operate with a high degree of autonomy and under broad direction, acting as a primary and first point of control in the execution of the building development.</w:t>
      </w:r>
    </w:p>
    <w:p w14:paraId="15423DC1" w14:textId="77777777" w:rsidR="007C1212" w:rsidRPr="009D1958" w:rsidRDefault="007C1212" w:rsidP="007C1212">
      <w:pPr>
        <w:pStyle w:val="Heading2"/>
        <w:tabs>
          <w:tab w:val="left" w:pos="862"/>
        </w:tabs>
        <w:ind w:right="850"/>
        <w:rPr>
          <w:rFonts w:ascii="Arial" w:hAnsi="Arial" w:cs="Arial"/>
          <w:sz w:val="20"/>
        </w:rPr>
      </w:pPr>
      <w:r>
        <w:rPr>
          <w:rFonts w:ascii="Arial" w:hAnsi="Arial" w:cs="Arial"/>
          <w:sz w:val="20"/>
          <w:szCs w:val="20"/>
        </w:rPr>
        <w:tab/>
      </w:r>
      <w:r w:rsidRPr="58837D34">
        <w:rPr>
          <w:rFonts w:ascii="Arial" w:hAnsi="Arial" w:cs="Arial"/>
          <w:sz w:val="20"/>
          <w:szCs w:val="20"/>
        </w:rPr>
        <w:t>This role must also ensure that the project complies with the Building Code of Australia and other statutory requirements.</w:t>
      </w:r>
      <w:r>
        <w:rPr>
          <w:rFonts w:ascii="Arial" w:hAnsi="Arial" w:cs="Arial"/>
          <w:sz w:val="20"/>
          <w:szCs w:val="20"/>
        </w:rPr>
        <w:t xml:space="preserve"> </w:t>
      </w:r>
      <w:r w:rsidRPr="009D1958">
        <w:rPr>
          <w:rFonts w:ascii="Arial" w:hAnsi="Arial" w:cs="Arial"/>
          <w:sz w:val="20"/>
        </w:rPr>
        <w:t>This is a critical position for fraud and corruption control in the University. The incumbent will ensure they understand the University's Fraud and Corruption Control Framework and manage the prevention, detection and reporting controls of their function effectively.</w:t>
      </w:r>
    </w:p>
    <w:p w14:paraId="3C0D7325" w14:textId="773013B4" w:rsidR="00E449D4" w:rsidRPr="00C138CC" w:rsidRDefault="00E449D4" w:rsidP="00183654">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2921DFC9" w14:textId="0E49929A" w:rsidR="007C1212" w:rsidRPr="000C2527" w:rsidRDefault="007C1212" w:rsidP="007C1212">
      <w:pPr>
        <w:pStyle w:val="ListParagraph"/>
        <w:numPr>
          <w:ilvl w:val="1"/>
          <w:numId w:val="3"/>
        </w:numPr>
        <w:tabs>
          <w:tab w:val="left" w:pos="1276"/>
        </w:tabs>
        <w:spacing w:before="115" w:line="266" w:lineRule="auto"/>
        <w:ind w:left="1276" w:right="1440" w:hanging="306"/>
        <w:jc w:val="both"/>
        <w:rPr>
          <w:rFonts w:ascii="Arial" w:eastAsia="Malgun Gothic" w:hAnsi="Arial" w:cs="Arial"/>
          <w:sz w:val="20"/>
          <w:szCs w:val="20"/>
        </w:rPr>
      </w:pPr>
      <w:r w:rsidRPr="04ADE06F">
        <w:rPr>
          <w:rFonts w:ascii="Arial" w:eastAsia="Malgun Gothic" w:hAnsi="Arial" w:cs="Arial"/>
          <w:sz w:val="20"/>
          <w:szCs w:val="20"/>
        </w:rPr>
        <w:t xml:space="preserve">The occupant of this position will hold relevant tertiary qualifications and </w:t>
      </w:r>
      <w:proofErr w:type="gramStart"/>
      <w:r>
        <w:rPr>
          <w:rFonts w:ascii="Arial" w:eastAsia="Malgun Gothic" w:hAnsi="Arial" w:cs="Arial"/>
          <w:sz w:val="20"/>
          <w:szCs w:val="20"/>
        </w:rPr>
        <w:t>in excess of</w:t>
      </w:r>
      <w:proofErr w:type="gramEnd"/>
      <w:r>
        <w:rPr>
          <w:rFonts w:ascii="Arial" w:eastAsia="Malgun Gothic" w:hAnsi="Arial" w:cs="Arial"/>
          <w:sz w:val="20"/>
          <w:szCs w:val="20"/>
        </w:rPr>
        <w:t xml:space="preserve"> 3</w:t>
      </w:r>
      <w:r w:rsidRPr="04ADE06F">
        <w:rPr>
          <w:rFonts w:ascii="Arial" w:eastAsia="Malgun Gothic" w:hAnsi="Arial" w:cs="Arial"/>
          <w:sz w:val="20"/>
          <w:szCs w:val="20"/>
        </w:rPr>
        <w:t xml:space="preserve"> years of subsequent experience in project management, or an equivalent combination of relevant experience and/or education and training.</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6AAE0876" w14:textId="77777777" w:rsidR="007C1212" w:rsidRPr="000C2527"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0C2527">
        <w:rPr>
          <w:rFonts w:ascii="Arial" w:hAnsi="Arial" w:cs="Arial"/>
          <w:sz w:val="20"/>
        </w:rPr>
        <w:t>Provide high level administrative and project coordination support to the SPM and Director MP&amp;P to ensure the successful execution of each phase in the construction including and not limited to the preparation and delivery of weekly project team activity summaries and reporting on key milestones for internal and external stakeholders.</w:t>
      </w:r>
    </w:p>
    <w:p w14:paraId="18AF6386" w14:textId="77777777" w:rsidR="007C1212"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0C2527">
        <w:rPr>
          <w:rFonts w:ascii="Arial" w:hAnsi="Arial" w:cs="Arial"/>
          <w:sz w:val="20"/>
        </w:rPr>
        <w:t>Liaise with project stakeholders regarding the planning and delivery of project activities and produce accurate and timely project communications including milestones reports and presentations</w:t>
      </w:r>
      <w:r>
        <w:rPr>
          <w:rFonts w:ascii="Arial" w:hAnsi="Arial" w:cs="Arial"/>
          <w:sz w:val="20"/>
        </w:rPr>
        <w:t>.</w:t>
      </w:r>
    </w:p>
    <w:p w14:paraId="406A7659" w14:textId="0A271724" w:rsidR="007C1212" w:rsidRPr="007C1212"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7C1212">
        <w:rPr>
          <w:rFonts w:ascii="Arial" w:hAnsi="Arial" w:cs="Arial"/>
          <w:sz w:val="20"/>
        </w:rPr>
        <w:t>Ensure coordination of procurement in accordance with procurement plans developed in consultation with the SPM and Director MP&amp;P.</w:t>
      </w:r>
    </w:p>
    <w:p w14:paraId="0DFB98C4" w14:textId="77777777" w:rsidR="007C1212" w:rsidRPr="00D61024"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D61024">
        <w:rPr>
          <w:rFonts w:ascii="Arial" w:hAnsi="Arial" w:cs="Arial"/>
          <w:sz w:val="20"/>
        </w:rPr>
        <w:t>Conduit and liaison between S</w:t>
      </w:r>
      <w:r>
        <w:rPr>
          <w:rFonts w:ascii="Arial" w:hAnsi="Arial" w:cs="Arial"/>
          <w:sz w:val="20"/>
        </w:rPr>
        <w:t>PM</w:t>
      </w:r>
      <w:r w:rsidRPr="00D61024">
        <w:rPr>
          <w:rFonts w:ascii="Arial" w:hAnsi="Arial" w:cs="Arial"/>
          <w:sz w:val="20"/>
        </w:rPr>
        <w:t xml:space="preserve">, Stakeholders, Design Team and Contractor to ensure briefs are incorporated </w:t>
      </w:r>
      <w:r>
        <w:rPr>
          <w:rFonts w:ascii="Arial" w:hAnsi="Arial" w:cs="Arial"/>
          <w:sz w:val="20"/>
        </w:rPr>
        <w:t>in</w:t>
      </w:r>
      <w:r w:rsidRPr="00D61024">
        <w:rPr>
          <w:rFonts w:ascii="Arial" w:hAnsi="Arial" w:cs="Arial"/>
          <w:sz w:val="20"/>
        </w:rPr>
        <w:t>to design and delivery.</w:t>
      </w:r>
      <w:r>
        <w:rPr>
          <w:rFonts w:ascii="Arial" w:hAnsi="Arial" w:cs="Arial"/>
          <w:sz w:val="20"/>
        </w:rPr>
        <w:t xml:space="preserve"> </w:t>
      </w:r>
      <w:r w:rsidRPr="00D61024">
        <w:rPr>
          <w:rFonts w:ascii="Arial" w:hAnsi="Arial" w:cs="Arial"/>
          <w:sz w:val="20"/>
        </w:rPr>
        <w:t xml:space="preserve">Undertake liaison with Local Authorities, Government Departments and other external bodies with respect </w:t>
      </w:r>
      <w:r>
        <w:rPr>
          <w:rFonts w:ascii="Arial" w:hAnsi="Arial" w:cs="Arial"/>
          <w:sz w:val="20"/>
        </w:rPr>
        <w:t xml:space="preserve">to </w:t>
      </w:r>
      <w:r w:rsidRPr="00D61024">
        <w:rPr>
          <w:rFonts w:ascii="Arial" w:hAnsi="Arial" w:cs="Arial"/>
          <w:sz w:val="20"/>
        </w:rPr>
        <w:t>approvals and statutory obligations</w:t>
      </w:r>
    </w:p>
    <w:p w14:paraId="59E0B649" w14:textId="77777777" w:rsidR="007C1212" w:rsidRPr="000C2527" w:rsidRDefault="007C1212" w:rsidP="007C1212">
      <w:pPr>
        <w:pStyle w:val="ListParagraph"/>
        <w:tabs>
          <w:tab w:val="left" w:pos="1180"/>
          <w:tab w:val="left" w:pos="1181"/>
        </w:tabs>
        <w:spacing w:before="117" w:line="276" w:lineRule="auto"/>
        <w:ind w:left="1180" w:right="1024"/>
        <w:rPr>
          <w:rFonts w:ascii="Arial" w:hAnsi="Arial" w:cs="Arial"/>
          <w:sz w:val="20"/>
        </w:rPr>
      </w:pPr>
    </w:p>
    <w:p w14:paraId="44B7BBC1" w14:textId="77777777" w:rsidR="007C1212" w:rsidRDefault="007C1212" w:rsidP="007C1212">
      <w:pPr>
        <w:spacing w:line="266" w:lineRule="auto"/>
        <w:jc w:val="both"/>
        <w:rPr>
          <w:sz w:val="20"/>
        </w:rPr>
      </w:pPr>
    </w:p>
    <w:p w14:paraId="4BF53A6A" w14:textId="77777777" w:rsidR="007C1212" w:rsidRDefault="007C1212" w:rsidP="007C1212">
      <w:pPr>
        <w:spacing w:line="266" w:lineRule="auto"/>
        <w:jc w:val="both"/>
        <w:rPr>
          <w:sz w:val="20"/>
        </w:rPr>
      </w:pPr>
    </w:p>
    <w:p w14:paraId="392BA5AE" w14:textId="77777777" w:rsidR="007C1212" w:rsidRDefault="007C1212" w:rsidP="007C1212">
      <w:pPr>
        <w:spacing w:line="266" w:lineRule="auto"/>
        <w:jc w:val="both"/>
        <w:rPr>
          <w:sz w:val="20"/>
        </w:rPr>
        <w:sectPr w:rsidR="007C1212" w:rsidSect="007C1212">
          <w:headerReference w:type="default" r:id="rId7"/>
          <w:pgSz w:w="11910" w:h="16840"/>
          <w:pgMar w:top="0" w:right="0" w:bottom="0" w:left="1320" w:header="720" w:footer="720" w:gutter="0"/>
          <w:cols w:space="720"/>
        </w:sectPr>
      </w:pPr>
    </w:p>
    <w:p w14:paraId="6DA4D1F1" w14:textId="77777777" w:rsidR="007C1212" w:rsidRPr="00D61024"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D61024">
        <w:rPr>
          <w:rFonts w:ascii="Arial" w:hAnsi="Arial" w:cs="Arial"/>
          <w:sz w:val="20"/>
        </w:rPr>
        <w:lastRenderedPageBreak/>
        <w:t>Monitor and provide oversight of the Construction process.  Conduit between Building Contractor / Superintendent and GU Stakeholders</w:t>
      </w:r>
      <w:r>
        <w:rPr>
          <w:rFonts w:ascii="Arial" w:hAnsi="Arial" w:cs="Arial"/>
          <w:sz w:val="20"/>
        </w:rPr>
        <w:t xml:space="preserve">. </w:t>
      </w:r>
      <w:r w:rsidRPr="00D61024">
        <w:rPr>
          <w:rFonts w:ascii="Arial" w:hAnsi="Arial" w:cs="Arial"/>
          <w:sz w:val="20"/>
        </w:rPr>
        <w:t xml:space="preserve">Ensure all required documentation is delivered, </w:t>
      </w:r>
      <w:proofErr w:type="gramStart"/>
      <w:r w:rsidRPr="00D61024">
        <w:rPr>
          <w:rFonts w:ascii="Arial" w:hAnsi="Arial" w:cs="Arial"/>
          <w:sz w:val="20"/>
        </w:rPr>
        <w:t>including:</w:t>
      </w:r>
      <w:proofErr w:type="gramEnd"/>
      <w:r w:rsidRPr="00D61024">
        <w:rPr>
          <w:rFonts w:ascii="Arial" w:hAnsi="Arial" w:cs="Arial"/>
          <w:sz w:val="20"/>
        </w:rPr>
        <w:t xml:space="preserve"> Warranties, manuals, as-constructed</w:t>
      </w:r>
      <w:r>
        <w:rPr>
          <w:rFonts w:ascii="Arial" w:hAnsi="Arial" w:cs="Arial"/>
          <w:sz w:val="20"/>
        </w:rPr>
        <w:t xml:space="preserve"> plans</w:t>
      </w:r>
      <w:r w:rsidRPr="00D61024">
        <w:rPr>
          <w:rFonts w:ascii="Arial" w:hAnsi="Arial" w:cs="Arial"/>
          <w:sz w:val="20"/>
        </w:rPr>
        <w:t>, plant and equipment lists.</w:t>
      </w:r>
    </w:p>
    <w:p w14:paraId="6716F76B" w14:textId="77777777" w:rsidR="007C1212" w:rsidRPr="00D61024"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Oversee </w:t>
      </w:r>
      <w:r w:rsidRPr="00D61024">
        <w:rPr>
          <w:rFonts w:ascii="Arial" w:hAnsi="Arial" w:cs="Arial"/>
          <w:sz w:val="20"/>
        </w:rPr>
        <w:t>post-construction project review</w:t>
      </w:r>
      <w:r>
        <w:rPr>
          <w:rFonts w:ascii="Arial" w:hAnsi="Arial" w:cs="Arial"/>
          <w:sz w:val="20"/>
        </w:rPr>
        <w:t xml:space="preserve"> </w:t>
      </w:r>
      <w:r w:rsidRPr="00D61024">
        <w:rPr>
          <w:rFonts w:ascii="Arial" w:hAnsi="Arial" w:cs="Arial"/>
          <w:sz w:val="20"/>
        </w:rPr>
        <w:t xml:space="preserve">and contribute to </w:t>
      </w:r>
      <w:r>
        <w:rPr>
          <w:rFonts w:ascii="Arial" w:hAnsi="Arial" w:cs="Arial"/>
          <w:sz w:val="20"/>
        </w:rPr>
        <w:t xml:space="preserve">management of the defect period. </w:t>
      </w:r>
      <w:r w:rsidRPr="00A00C24">
        <w:rPr>
          <w:rFonts w:ascii="Arial" w:hAnsi="Arial" w:cs="Arial"/>
          <w:sz w:val="20"/>
        </w:rPr>
        <w:t>Ensure all contractual obligations, of all parties, are reviewed and met to facilitate project closure and provide dispute resolution advice as required.</w:t>
      </w:r>
    </w:p>
    <w:p w14:paraId="771EC139" w14:textId="77777777" w:rsidR="007C1212" w:rsidRPr="00C138CC"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Lead and promote compliance with relevant legislation and University policies and procedures, including equity and health &amp; safety and exhibit good practice in relation to same.</w:t>
      </w:r>
    </w:p>
    <w:p w14:paraId="71E7A37C" w14:textId="77777777" w:rsidR="007C1212" w:rsidRPr="00C138CC" w:rsidRDefault="007C1212" w:rsidP="007C1212">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5E77CEF2" w14:textId="77777777" w:rsidR="007C1212" w:rsidRPr="00C138CC" w:rsidRDefault="007C1212" w:rsidP="007C1212">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354B0058" w14:textId="77777777" w:rsidR="007C1212" w:rsidRPr="00C138CC" w:rsidRDefault="007C1212" w:rsidP="007C1212">
      <w:pPr>
        <w:pStyle w:val="ListParagraph"/>
        <w:tabs>
          <w:tab w:val="left" w:pos="1180"/>
          <w:tab w:val="left" w:pos="1181"/>
        </w:tabs>
        <w:spacing w:line="278" w:lineRule="auto"/>
        <w:ind w:right="1020"/>
        <w:rPr>
          <w:rFonts w:ascii="Arial" w:hAnsi="Arial" w:cs="Arial"/>
          <w:sz w:val="20"/>
        </w:rPr>
      </w:pPr>
    </w:p>
    <w:p w14:paraId="1958EF10" w14:textId="77777777" w:rsidR="007C1212" w:rsidRPr="00D803DA" w:rsidRDefault="007C1212" w:rsidP="007C1212">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03D7EA0B" w14:textId="77777777" w:rsidR="007C1212" w:rsidRDefault="007C1212" w:rsidP="007C1212">
      <w:pPr>
        <w:tabs>
          <w:tab w:val="left" w:pos="1181"/>
        </w:tabs>
        <w:spacing w:line="276" w:lineRule="auto"/>
        <w:ind w:left="820" w:right="1020"/>
        <w:rPr>
          <w:rFonts w:ascii="Arial" w:hAnsi="Arial" w:cs="Arial"/>
          <w:color w:val="000000"/>
          <w:sz w:val="20"/>
          <w:szCs w:val="20"/>
          <w:lang w:bidi="ar-SA"/>
        </w:rPr>
      </w:pPr>
    </w:p>
    <w:p w14:paraId="0D3A6870" w14:textId="77777777" w:rsidR="007C1212" w:rsidRDefault="007C1212" w:rsidP="007C1212">
      <w:pPr>
        <w:tabs>
          <w:tab w:val="left" w:pos="1276"/>
        </w:tabs>
        <w:spacing w:line="276" w:lineRule="auto"/>
        <w:ind w:left="1276" w:right="1020"/>
        <w:rPr>
          <w:rFonts w:ascii="Arial" w:hAnsi="Arial" w:cs="Arial"/>
          <w:sz w:val="20"/>
          <w:szCs w:val="20"/>
        </w:rPr>
      </w:pPr>
      <w:r w:rsidRPr="32A58FDE">
        <w:rPr>
          <w:rFonts w:ascii="Arial" w:hAnsi="Arial" w:cs="Arial"/>
          <w:color w:val="000000" w:themeColor="text1"/>
          <w:sz w:val="20"/>
          <w:szCs w:val="20"/>
          <w:lang w:bidi="ar-SA"/>
        </w:rPr>
        <w:t xml:space="preserve">To read about some of the non-technical organisation skills for this position, please </w:t>
      </w:r>
      <w:r w:rsidRPr="00830D60">
        <w:rPr>
          <w:rFonts w:ascii="Arial" w:hAnsi="Arial" w:cs="Arial"/>
          <w:sz w:val="20"/>
          <w:szCs w:val="20"/>
          <w:lang w:bidi="ar-SA"/>
        </w:rPr>
        <w:t xml:space="preserve">see the Leads Others section </w:t>
      </w:r>
      <w:r w:rsidRPr="32A58FDE">
        <w:rPr>
          <w:rFonts w:ascii="Arial" w:hAnsi="Arial" w:cs="Arial"/>
          <w:color w:val="000000" w:themeColor="text1"/>
          <w:sz w:val="20"/>
          <w:szCs w:val="20"/>
          <w:lang w:bidi="ar-SA"/>
        </w:rPr>
        <w:t xml:space="preserve">of our </w:t>
      </w:r>
      <w:hyperlink r:id="rId8" w:anchor="framework">
        <w:r w:rsidRPr="32A58FDE">
          <w:rPr>
            <w:rStyle w:val="Hyperlink"/>
            <w:rFonts w:ascii="Arial" w:hAnsi="Arial" w:cs="Arial"/>
            <w:color w:val="0033CC"/>
            <w:sz w:val="20"/>
            <w:szCs w:val="20"/>
            <w:lang w:bidi="ar-SA"/>
          </w:rPr>
          <w:t>Capability Development Framework</w:t>
        </w:r>
      </w:hyperlink>
      <w:r w:rsidRPr="32A58FDE">
        <w:rPr>
          <w:rFonts w:ascii="Arial" w:hAnsi="Arial" w:cs="Arial"/>
          <w:color w:val="000000" w:themeColor="text1"/>
          <w:sz w:val="20"/>
          <w:szCs w:val="20"/>
          <w:lang w:bidi="ar-SA"/>
        </w:rPr>
        <w:t>.</w:t>
      </w:r>
    </w:p>
    <w:p w14:paraId="14C54C42" w14:textId="77777777" w:rsidR="007C1212" w:rsidRDefault="007C1212" w:rsidP="007C1212"/>
    <w:p w14:paraId="700B42F6" w14:textId="77777777" w:rsidR="007C1212" w:rsidRDefault="007C1212" w:rsidP="007C1212"/>
    <w:p w14:paraId="593CD0FF" w14:textId="77777777" w:rsidR="00EB78CB" w:rsidRDefault="00EB78CB" w:rsidP="007C1212">
      <w:pPr>
        <w:pStyle w:val="ListParagraph"/>
        <w:tabs>
          <w:tab w:val="left" w:pos="1180"/>
          <w:tab w:val="left" w:pos="1181"/>
        </w:tabs>
        <w:spacing w:line="276" w:lineRule="auto"/>
        <w:ind w:left="1180" w:right="1024"/>
      </w:pPr>
    </w:p>
    <w:sectPr w:rsidR="00EB78CB" w:rsidSect="00EB78CB">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9362" w14:textId="77777777" w:rsidR="00791290" w:rsidRDefault="00791290" w:rsidP="00E449D4">
      <w:r>
        <w:separator/>
      </w:r>
    </w:p>
  </w:endnote>
  <w:endnote w:type="continuationSeparator" w:id="0">
    <w:p w14:paraId="203E2CBB" w14:textId="77777777" w:rsidR="00791290" w:rsidRDefault="00791290"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A84A" w14:textId="77777777" w:rsidR="00791290" w:rsidRDefault="00791290" w:rsidP="00E449D4">
      <w:r>
        <w:separator/>
      </w:r>
    </w:p>
  </w:footnote>
  <w:footnote w:type="continuationSeparator" w:id="0">
    <w:p w14:paraId="12CE2BBC" w14:textId="77777777" w:rsidR="00791290" w:rsidRDefault="00791290"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00A" w14:textId="77777777" w:rsidR="007C1212" w:rsidRDefault="007C1212">
    <w:pPr>
      <w:pStyle w:val="Header"/>
    </w:pPr>
    <w:r>
      <w:rPr>
        <w:noProof/>
      </w:rPr>
      <w:drawing>
        <wp:anchor distT="0" distB="0" distL="114300" distR="114300" simplePos="0" relativeHeight="251669504" behindDoc="1" locked="0" layoutInCell="1" allowOverlap="1" wp14:anchorId="49EB96C9" wp14:editId="6E046B8B">
          <wp:simplePos x="0" y="0"/>
          <wp:positionH relativeFrom="margin">
            <wp:align>left</wp:align>
          </wp:positionH>
          <wp:positionV relativeFrom="paragraph">
            <wp:posOffset>-380340</wp:posOffset>
          </wp:positionV>
          <wp:extent cx="1553799" cy="594359"/>
          <wp:effectExtent l="0" t="0" r="0" b="0"/>
          <wp:wrapTight wrapText="bothSides">
            <wp:wrapPolygon edited="0">
              <wp:start x="1590" y="0"/>
              <wp:lineTo x="0" y="3465"/>
              <wp:lineTo x="0" y="14554"/>
              <wp:lineTo x="6888" y="20791"/>
              <wp:lineTo x="21194" y="20791"/>
              <wp:lineTo x="21194" y="2772"/>
              <wp:lineTo x="20134" y="0"/>
              <wp:lineTo x="1590" y="0"/>
            </wp:wrapPolygon>
          </wp:wrapTight>
          <wp:docPr id="449377521" name="image1.png"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5883" name="image1.png" descr="A black and red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F51BF"/>
    <w:multiLevelType w:val="hybridMultilevel"/>
    <w:tmpl w:val="A956D8F4"/>
    <w:lvl w:ilvl="0" w:tplc="1FD82796">
      <w:start w:val="1"/>
      <w:numFmt w:val="decimal"/>
      <w:lvlText w:val="%1.0"/>
      <w:lvlJc w:val="left"/>
      <w:pPr>
        <w:ind w:left="981" w:hanging="721"/>
      </w:pPr>
      <w:rPr>
        <w:rFonts w:ascii="Arial" w:eastAsia="Arial" w:hAnsi="Arial" w:cs="Arial" w:hint="default"/>
        <w:b w:val="0"/>
        <w:bCs w:val="0"/>
        <w:i w:val="0"/>
        <w:iCs w:val="0"/>
        <w:color w:val="E10917"/>
        <w:spacing w:val="-2"/>
        <w:w w:val="99"/>
        <w:sz w:val="24"/>
        <w:szCs w:val="24"/>
        <w:lang w:val="en-US" w:eastAsia="en-US" w:bidi="ar-SA"/>
      </w:rPr>
    </w:lvl>
    <w:lvl w:ilvl="1" w:tplc="319EF634">
      <w:numFmt w:val="bullet"/>
      <w:lvlText w:val=""/>
      <w:lvlJc w:val="left"/>
      <w:pPr>
        <w:ind w:left="1396" w:hanging="425"/>
      </w:pPr>
      <w:rPr>
        <w:rFonts w:ascii="Wingdings" w:eastAsia="Wingdings" w:hAnsi="Wingdings" w:cs="Wingdings" w:hint="default"/>
        <w:b w:val="0"/>
        <w:bCs w:val="0"/>
        <w:i w:val="0"/>
        <w:iCs w:val="0"/>
        <w:color w:val="E10917"/>
        <w:w w:val="97"/>
        <w:sz w:val="20"/>
        <w:szCs w:val="20"/>
        <w:lang w:val="en-US" w:eastAsia="en-US" w:bidi="ar-SA"/>
      </w:rPr>
    </w:lvl>
    <w:lvl w:ilvl="2" w:tplc="B42C7E24">
      <w:numFmt w:val="bullet"/>
      <w:lvlText w:val="•"/>
      <w:lvlJc w:val="left"/>
      <w:pPr>
        <w:ind w:left="1400" w:hanging="425"/>
      </w:pPr>
      <w:rPr>
        <w:rFonts w:hint="default"/>
        <w:lang w:val="en-US" w:eastAsia="en-US" w:bidi="ar-SA"/>
      </w:rPr>
    </w:lvl>
    <w:lvl w:ilvl="3" w:tplc="B78047AC">
      <w:numFmt w:val="bullet"/>
      <w:lvlText w:val="•"/>
      <w:lvlJc w:val="left"/>
      <w:pPr>
        <w:ind w:left="2548" w:hanging="425"/>
      </w:pPr>
      <w:rPr>
        <w:rFonts w:hint="default"/>
        <w:lang w:val="en-US" w:eastAsia="en-US" w:bidi="ar-SA"/>
      </w:rPr>
    </w:lvl>
    <w:lvl w:ilvl="4" w:tplc="F77CFD2E">
      <w:numFmt w:val="bullet"/>
      <w:lvlText w:val="•"/>
      <w:lvlJc w:val="left"/>
      <w:pPr>
        <w:ind w:left="3696" w:hanging="425"/>
      </w:pPr>
      <w:rPr>
        <w:rFonts w:hint="default"/>
        <w:lang w:val="en-US" w:eastAsia="en-US" w:bidi="ar-SA"/>
      </w:rPr>
    </w:lvl>
    <w:lvl w:ilvl="5" w:tplc="7592C184">
      <w:numFmt w:val="bullet"/>
      <w:lvlText w:val="•"/>
      <w:lvlJc w:val="left"/>
      <w:pPr>
        <w:ind w:left="4844" w:hanging="425"/>
      </w:pPr>
      <w:rPr>
        <w:rFonts w:hint="default"/>
        <w:lang w:val="en-US" w:eastAsia="en-US" w:bidi="ar-SA"/>
      </w:rPr>
    </w:lvl>
    <w:lvl w:ilvl="6" w:tplc="9E943F76">
      <w:numFmt w:val="bullet"/>
      <w:lvlText w:val="•"/>
      <w:lvlJc w:val="left"/>
      <w:pPr>
        <w:ind w:left="5992" w:hanging="425"/>
      </w:pPr>
      <w:rPr>
        <w:rFonts w:hint="default"/>
        <w:lang w:val="en-US" w:eastAsia="en-US" w:bidi="ar-SA"/>
      </w:rPr>
    </w:lvl>
    <w:lvl w:ilvl="7" w:tplc="24E6DBCC">
      <w:numFmt w:val="bullet"/>
      <w:lvlText w:val="•"/>
      <w:lvlJc w:val="left"/>
      <w:pPr>
        <w:ind w:left="7140" w:hanging="425"/>
      </w:pPr>
      <w:rPr>
        <w:rFonts w:hint="default"/>
        <w:lang w:val="en-US" w:eastAsia="en-US" w:bidi="ar-SA"/>
      </w:rPr>
    </w:lvl>
    <w:lvl w:ilvl="8" w:tplc="C554BA14">
      <w:numFmt w:val="bullet"/>
      <w:lvlText w:val="•"/>
      <w:lvlJc w:val="left"/>
      <w:pPr>
        <w:ind w:left="8288" w:hanging="425"/>
      </w:pPr>
      <w:rPr>
        <w:rFonts w:hint="default"/>
        <w:lang w:val="en-US" w:eastAsia="en-US" w:bidi="ar-SA"/>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070252">
    <w:abstractNumId w:val="1"/>
  </w:num>
  <w:num w:numId="2" w16cid:durableId="1473908936">
    <w:abstractNumId w:val="2"/>
  </w:num>
  <w:num w:numId="3" w16cid:durableId="15006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28D2"/>
    <w:rsid w:val="000A11BF"/>
    <w:rsid w:val="000B695B"/>
    <w:rsid w:val="000C5EF3"/>
    <w:rsid w:val="00140AB5"/>
    <w:rsid w:val="00183654"/>
    <w:rsid w:val="001F1A17"/>
    <w:rsid w:val="001F2167"/>
    <w:rsid w:val="00397153"/>
    <w:rsid w:val="00791290"/>
    <w:rsid w:val="007C1212"/>
    <w:rsid w:val="007E7605"/>
    <w:rsid w:val="00864393"/>
    <w:rsid w:val="009652D9"/>
    <w:rsid w:val="00996B92"/>
    <w:rsid w:val="00A40DD9"/>
    <w:rsid w:val="00B226B7"/>
    <w:rsid w:val="00C41AEC"/>
    <w:rsid w:val="00CF0022"/>
    <w:rsid w:val="00D6317E"/>
    <w:rsid w:val="00D82770"/>
    <w:rsid w:val="00DC185F"/>
    <w:rsid w:val="00DD1F13"/>
    <w:rsid w:val="00E3020D"/>
    <w:rsid w:val="00E449D4"/>
    <w:rsid w:val="00EB78CB"/>
    <w:rsid w:val="00EF0741"/>
    <w:rsid w:val="00F70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secure.griffith.edu.au/employment/learning-and-development/specialist-programs/capability-development-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Kate Tolman</cp:lastModifiedBy>
  <cp:revision>2</cp:revision>
  <dcterms:created xsi:type="dcterms:W3CDTF">2025-06-12T00:52:00Z</dcterms:created>
  <dcterms:modified xsi:type="dcterms:W3CDTF">2025-06-12T00:52:00Z</dcterms:modified>
</cp:coreProperties>
</file>