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1BBB" w14:textId="3828B6FD" w:rsidR="007A2F1C" w:rsidRDefault="00735317" w:rsidP="00BC32F8">
      <w:pPr>
        <w:pStyle w:val="BodyText"/>
        <w:spacing w:before="7"/>
        <w:ind w:left="0"/>
        <w:rPr>
          <w:rFonts w:ascii="Times New Roman"/>
          <w:sz w:val="28"/>
        </w:rPr>
      </w:pPr>
      <w:r>
        <w:rPr>
          <w:noProof/>
        </w:rPr>
        <mc:AlternateContent>
          <mc:Choice Requires="wpg">
            <w:drawing>
              <wp:anchor distT="0" distB="0" distL="0" distR="0" simplePos="0" relativeHeight="251658240" behindDoc="0" locked="0" layoutInCell="1" allowOverlap="1" wp14:anchorId="21385631" wp14:editId="187FE702">
                <wp:simplePos x="0" y="0"/>
                <wp:positionH relativeFrom="page">
                  <wp:posOffset>4638675</wp:posOffset>
                </wp:positionH>
                <wp:positionV relativeFrom="page">
                  <wp:posOffset>15239</wp:posOffset>
                </wp:positionV>
                <wp:extent cx="2921635" cy="19297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4" y="0"/>
                                </a:moveTo>
                                <a:lnTo>
                                  <a:pt x="0" y="0"/>
                                </a:lnTo>
                                <a:lnTo>
                                  <a:pt x="1939925" y="1929765"/>
                                </a:lnTo>
                                <a:lnTo>
                                  <a:pt x="2921634" y="953135"/>
                                </a:lnTo>
                                <a:lnTo>
                                  <a:pt x="2921634"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7010D63F" w14:textId="77777777" w:rsidR="007A2F1C" w:rsidRDefault="00735317">
                              <w:pPr>
                                <w:spacing w:before="162"/>
                                <w:ind w:left="1692"/>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v:group id="Group 1" style="position:absolute;margin-left:365.25pt;margin-top:1.2pt;width:230.05pt;height:151.95pt;z-index:251658240;mso-wrap-distance-left:0;mso-wrap-distance-right:0;mso-position-horizontal-relative:page;mso-position-vertical-relative:page" coordsize="29216,19297" o:spid="_x0000_s1026" w14:anchorId="2138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">
                <v:shape id="Graphic 2" style="position:absolute;width:29216;height:19297;visibility:visible;mso-wrap-style:square;v-text-anchor:top" coordsize="2921635,1929764" o:spid="_x0000_s1027" fillcolor="#eb1d21" stroked="f" path="m2921634,l,,1939925,1929765,2921634,953135,29216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v:path arrowok="t"/>
                </v:shape>
                <v:shapetype id="_x0000_t202" coordsize="21600,21600" o:spt="202" path="m,l,21600r21600,l21600,xe">
                  <v:stroke joinstyle="miter"/>
                  <v:path gradientshapeok="t" o:connecttype="rect"/>
                </v:shapetype>
                <v:shape id="Textbox 3" style="position:absolute;width:29216;height:1929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v:textbox inset="0,0,0,0">
                    <w:txbxContent>
                      <w:p w:rsidR="007A2F1C" w:rsidRDefault="00735317" w14:paraId="7010D63F" w14:textId="77777777">
                        <w:pPr>
                          <w:spacing w:before="162"/>
                          <w:ind w:left="1692"/>
                          <w:rPr>
                            <w:b/>
                            <w:sz w:val="50"/>
                          </w:rPr>
                        </w:pPr>
                        <w:r>
                          <w:rPr>
                            <w:b/>
                            <w:color w:val="FFFFFF"/>
                            <w:spacing w:val="-2"/>
                            <w:sz w:val="50"/>
                          </w:rPr>
                          <w:t>Position Description</w:t>
                        </w:r>
                      </w:p>
                    </w:txbxContent>
                  </v:textbox>
                </v:shape>
                <w10:wrap anchorx="page" anchory="page"/>
              </v:group>
            </w:pict>
          </mc:Fallback>
        </mc:AlternateContent>
      </w:r>
    </w:p>
    <w:p w14:paraId="6243A6AE" w14:textId="77777777" w:rsidR="007A2F1C" w:rsidRDefault="00735317">
      <w:pPr>
        <w:pStyle w:val="BodyText"/>
        <w:ind w:left="140"/>
        <w:rPr>
          <w:rFonts w:ascii="Times New Roman"/>
        </w:rPr>
      </w:pPr>
      <w:r>
        <w:rPr>
          <w:rFonts w:ascii="Times New Roman"/>
          <w:noProof/>
        </w:rPr>
        <w:drawing>
          <wp:inline distT="0" distB="0" distL="0" distR="0" wp14:anchorId="7DDA3647" wp14:editId="376149B7">
            <wp:extent cx="1553854" cy="5943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553854" cy="594359"/>
                    </a:xfrm>
                    <a:prstGeom prst="rect">
                      <a:avLst/>
                    </a:prstGeom>
                  </pic:spPr>
                </pic:pic>
              </a:graphicData>
            </a:graphic>
          </wp:inline>
        </w:drawing>
      </w:r>
    </w:p>
    <w:p w14:paraId="585E4191" w14:textId="77777777" w:rsidR="007A2F1C" w:rsidRDefault="007A2F1C">
      <w:pPr>
        <w:pStyle w:val="BodyText"/>
        <w:ind w:left="0"/>
        <w:rPr>
          <w:rFonts w:ascii="Times New Roman"/>
        </w:rPr>
      </w:pPr>
    </w:p>
    <w:p w14:paraId="33064825" w14:textId="77777777" w:rsidR="007A2F1C" w:rsidRDefault="007A2F1C">
      <w:pPr>
        <w:pStyle w:val="BodyText"/>
        <w:ind w:left="0"/>
        <w:rPr>
          <w:rFonts w:ascii="Times New Roman"/>
        </w:rPr>
      </w:pPr>
    </w:p>
    <w:p w14:paraId="130A7F92" w14:textId="77777777" w:rsidR="007A2F1C" w:rsidRDefault="007A2F1C">
      <w:pPr>
        <w:pStyle w:val="BodyText"/>
        <w:ind w:left="0"/>
        <w:rPr>
          <w:rFonts w:ascii="Times New Roman"/>
        </w:rPr>
      </w:pPr>
    </w:p>
    <w:p w14:paraId="14CCCC7F" w14:textId="77777777" w:rsidR="007A2F1C" w:rsidRDefault="007A2F1C">
      <w:pPr>
        <w:pStyle w:val="BodyText"/>
        <w:ind w:left="0"/>
        <w:rPr>
          <w:rFonts w:ascii="Times New Roman"/>
        </w:rPr>
      </w:pPr>
    </w:p>
    <w:tbl>
      <w:tblPr>
        <w:tblpPr w:leftFromText="180" w:rightFromText="180" w:vertAnchor="text"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98"/>
      </w:tblGrid>
      <w:tr w:rsidR="007D7DE3" w14:paraId="7EC76FCE" w14:textId="77777777" w:rsidTr="007D7DE3">
        <w:trPr>
          <w:trHeight w:val="460"/>
        </w:trPr>
        <w:tc>
          <w:tcPr>
            <w:tcW w:w="2876" w:type="dxa"/>
            <w:shd w:val="clear" w:color="auto" w:fill="D9D9D9"/>
          </w:tcPr>
          <w:p w14:paraId="36FBB610" w14:textId="77777777" w:rsidR="007D7DE3" w:rsidRDefault="007D7DE3" w:rsidP="007D7DE3">
            <w:pPr>
              <w:pStyle w:val="TableParagraph"/>
              <w:rPr>
                <w:b/>
              </w:rPr>
            </w:pPr>
            <w:r>
              <w:rPr>
                <w:b/>
              </w:rPr>
              <w:t>Position</w:t>
            </w:r>
            <w:r>
              <w:rPr>
                <w:b/>
                <w:spacing w:val="-8"/>
              </w:rPr>
              <w:t xml:space="preserve"> </w:t>
            </w:r>
            <w:r>
              <w:rPr>
                <w:b/>
                <w:spacing w:val="-2"/>
              </w:rPr>
              <w:t>Title</w:t>
            </w:r>
          </w:p>
        </w:tc>
        <w:tc>
          <w:tcPr>
            <w:tcW w:w="6198" w:type="dxa"/>
          </w:tcPr>
          <w:p w14:paraId="71846299" w14:textId="77777777" w:rsidR="007D7DE3" w:rsidRDefault="007D7DE3" w:rsidP="007D7DE3">
            <w:pPr>
              <w:pStyle w:val="TableParagraph"/>
              <w:spacing w:line="229" w:lineRule="exact"/>
              <w:rPr>
                <w:sz w:val="20"/>
              </w:rPr>
            </w:pPr>
            <w:r>
              <w:rPr>
                <w:sz w:val="20"/>
              </w:rPr>
              <w:t>Service Centre Senior Analyst</w:t>
            </w:r>
          </w:p>
        </w:tc>
      </w:tr>
      <w:tr w:rsidR="007D7DE3" w14:paraId="57B7F367" w14:textId="77777777" w:rsidTr="007D7DE3">
        <w:trPr>
          <w:trHeight w:val="460"/>
        </w:trPr>
        <w:tc>
          <w:tcPr>
            <w:tcW w:w="2876" w:type="dxa"/>
            <w:shd w:val="clear" w:color="auto" w:fill="D9D9D9"/>
          </w:tcPr>
          <w:p w14:paraId="44192527" w14:textId="77777777" w:rsidR="007D7DE3" w:rsidRDefault="007D7DE3" w:rsidP="007D7DE3">
            <w:pPr>
              <w:pStyle w:val="TableParagraph"/>
              <w:rPr>
                <w:b/>
              </w:rPr>
            </w:pPr>
            <w:r>
              <w:rPr>
                <w:b/>
                <w:spacing w:val="-2"/>
              </w:rPr>
              <w:t>Group/Portfolio</w:t>
            </w:r>
          </w:p>
        </w:tc>
        <w:tc>
          <w:tcPr>
            <w:tcW w:w="6198" w:type="dxa"/>
          </w:tcPr>
          <w:p w14:paraId="13B311A0" w14:textId="77777777" w:rsidR="007D7DE3" w:rsidRDefault="007D7DE3" w:rsidP="007D7DE3">
            <w:pPr>
              <w:pStyle w:val="TableParagraph"/>
              <w:spacing w:line="229" w:lineRule="exact"/>
              <w:rPr>
                <w:sz w:val="20"/>
              </w:rPr>
            </w:pPr>
            <w:r>
              <w:rPr>
                <w:spacing w:val="-2"/>
                <w:sz w:val="20"/>
              </w:rPr>
              <w:t xml:space="preserve">Service Centre </w:t>
            </w:r>
          </w:p>
        </w:tc>
      </w:tr>
      <w:tr w:rsidR="007D7DE3" w14:paraId="582683B9" w14:textId="77777777" w:rsidTr="007D7DE3">
        <w:trPr>
          <w:trHeight w:val="458"/>
        </w:trPr>
        <w:tc>
          <w:tcPr>
            <w:tcW w:w="2876" w:type="dxa"/>
            <w:shd w:val="clear" w:color="auto" w:fill="D9D9D9"/>
          </w:tcPr>
          <w:p w14:paraId="47018CCF" w14:textId="77777777" w:rsidR="007D7DE3" w:rsidRDefault="007D7DE3" w:rsidP="007D7DE3">
            <w:pPr>
              <w:pStyle w:val="TableParagraph"/>
              <w:rPr>
                <w:b/>
              </w:rPr>
            </w:pPr>
            <w:r>
              <w:rPr>
                <w:b/>
                <w:spacing w:val="-2"/>
              </w:rPr>
              <w:t>Classification</w:t>
            </w:r>
          </w:p>
        </w:tc>
        <w:tc>
          <w:tcPr>
            <w:tcW w:w="6198" w:type="dxa"/>
          </w:tcPr>
          <w:p w14:paraId="2183CB99" w14:textId="77777777" w:rsidR="007D7DE3" w:rsidRDefault="007D7DE3" w:rsidP="007D7DE3">
            <w:pPr>
              <w:pStyle w:val="TableParagraph"/>
              <w:spacing w:line="229" w:lineRule="exact"/>
              <w:rPr>
                <w:sz w:val="20"/>
              </w:rPr>
            </w:pPr>
            <w:r>
              <w:rPr>
                <w:sz w:val="20"/>
              </w:rPr>
              <w:t>HEW</w:t>
            </w:r>
            <w:r>
              <w:rPr>
                <w:spacing w:val="-5"/>
                <w:sz w:val="20"/>
              </w:rPr>
              <w:t xml:space="preserve"> </w:t>
            </w:r>
            <w:r>
              <w:rPr>
                <w:sz w:val="20"/>
              </w:rPr>
              <w:t>Level</w:t>
            </w:r>
            <w:r>
              <w:rPr>
                <w:spacing w:val="-6"/>
                <w:sz w:val="20"/>
              </w:rPr>
              <w:t xml:space="preserve"> </w:t>
            </w:r>
            <w:r>
              <w:rPr>
                <w:spacing w:val="-10"/>
                <w:sz w:val="20"/>
              </w:rPr>
              <w:t>6</w:t>
            </w:r>
          </w:p>
        </w:tc>
      </w:tr>
      <w:tr w:rsidR="007D7DE3" w14:paraId="0C3AF46A" w14:textId="77777777" w:rsidTr="007D7DE3">
        <w:trPr>
          <w:trHeight w:val="460"/>
        </w:trPr>
        <w:tc>
          <w:tcPr>
            <w:tcW w:w="2876" w:type="dxa"/>
            <w:shd w:val="clear" w:color="auto" w:fill="D9D9D9"/>
          </w:tcPr>
          <w:p w14:paraId="58983390" w14:textId="77777777" w:rsidR="007D7DE3" w:rsidRDefault="007D7DE3" w:rsidP="007D7DE3">
            <w:pPr>
              <w:pStyle w:val="TableParagraph"/>
              <w:spacing w:before="2"/>
              <w:rPr>
                <w:b/>
              </w:rPr>
            </w:pPr>
            <w:r>
              <w:rPr>
                <w:b/>
              </w:rPr>
              <w:t>Position</w:t>
            </w:r>
            <w:r>
              <w:rPr>
                <w:b/>
                <w:spacing w:val="-6"/>
              </w:rPr>
              <w:t xml:space="preserve"> </w:t>
            </w:r>
            <w:r>
              <w:rPr>
                <w:b/>
                <w:spacing w:val="-2"/>
              </w:rPr>
              <w:t>Number</w:t>
            </w:r>
          </w:p>
        </w:tc>
        <w:tc>
          <w:tcPr>
            <w:tcW w:w="6198" w:type="dxa"/>
          </w:tcPr>
          <w:p w14:paraId="61FEEF9B" w14:textId="77777777" w:rsidR="007D7DE3" w:rsidRDefault="007D7DE3" w:rsidP="007D7DE3">
            <w:pPr>
              <w:pStyle w:val="TableParagraph"/>
              <w:spacing w:line="229" w:lineRule="exact"/>
              <w:rPr>
                <w:sz w:val="20"/>
              </w:rPr>
            </w:pPr>
            <w:r>
              <w:rPr>
                <w:spacing w:val="-2"/>
                <w:sz w:val="20"/>
              </w:rPr>
              <w:t>00062752</w:t>
            </w:r>
          </w:p>
        </w:tc>
      </w:tr>
      <w:tr w:rsidR="007D7DE3" w14:paraId="2BFEE33C" w14:textId="77777777" w:rsidTr="007D7DE3">
        <w:trPr>
          <w:trHeight w:val="460"/>
        </w:trPr>
        <w:tc>
          <w:tcPr>
            <w:tcW w:w="2876" w:type="dxa"/>
            <w:shd w:val="clear" w:color="auto" w:fill="D9D9D9"/>
          </w:tcPr>
          <w:p w14:paraId="4CBF3796" w14:textId="77777777" w:rsidR="007D7DE3" w:rsidRDefault="007D7DE3" w:rsidP="007D7DE3">
            <w:pPr>
              <w:pStyle w:val="TableParagraph"/>
              <w:rPr>
                <w:b/>
              </w:rPr>
            </w:pPr>
            <w:r>
              <w:rPr>
                <w:b/>
              </w:rPr>
              <w:t>Reports</w:t>
            </w:r>
            <w:r>
              <w:rPr>
                <w:b/>
                <w:spacing w:val="-5"/>
              </w:rPr>
              <w:t xml:space="preserve"> To</w:t>
            </w:r>
          </w:p>
        </w:tc>
        <w:tc>
          <w:tcPr>
            <w:tcW w:w="6198" w:type="dxa"/>
          </w:tcPr>
          <w:p w14:paraId="5EC44E5B" w14:textId="4944F582" w:rsidR="007D7DE3" w:rsidRDefault="007D7DE3" w:rsidP="007D7DE3">
            <w:pPr>
              <w:pStyle w:val="TableParagraph"/>
              <w:spacing w:line="229" w:lineRule="exact"/>
              <w:rPr>
                <w:sz w:val="20"/>
              </w:rPr>
            </w:pPr>
            <w:r>
              <w:rPr>
                <w:sz w:val="20"/>
              </w:rPr>
              <w:t xml:space="preserve">Service Centre Operations Manager </w:t>
            </w:r>
          </w:p>
        </w:tc>
      </w:tr>
      <w:tr w:rsidR="007D7DE3" w14:paraId="3179565F" w14:textId="77777777" w:rsidTr="007D7DE3">
        <w:trPr>
          <w:trHeight w:val="460"/>
        </w:trPr>
        <w:tc>
          <w:tcPr>
            <w:tcW w:w="2876" w:type="dxa"/>
            <w:shd w:val="clear" w:color="auto" w:fill="D9D9D9"/>
          </w:tcPr>
          <w:p w14:paraId="6C603708" w14:textId="77777777" w:rsidR="007D7DE3" w:rsidRDefault="007D7DE3" w:rsidP="007D7DE3">
            <w:pPr>
              <w:pStyle w:val="TableParagraph"/>
              <w:rPr>
                <w:b/>
              </w:rPr>
            </w:pPr>
            <w:r>
              <w:rPr>
                <w:b/>
              </w:rPr>
              <w:t>Employment</w:t>
            </w:r>
            <w:r>
              <w:rPr>
                <w:b/>
                <w:spacing w:val="-9"/>
              </w:rPr>
              <w:t xml:space="preserve"> </w:t>
            </w:r>
            <w:r>
              <w:rPr>
                <w:b/>
                <w:spacing w:val="-4"/>
              </w:rPr>
              <w:t>Type</w:t>
            </w:r>
          </w:p>
        </w:tc>
        <w:tc>
          <w:tcPr>
            <w:tcW w:w="6198" w:type="dxa"/>
          </w:tcPr>
          <w:p w14:paraId="422C1DA0" w14:textId="7CDBDA5B" w:rsidR="007D7DE3" w:rsidRDefault="00FA2A34" w:rsidP="007D7DE3">
            <w:pPr>
              <w:pStyle w:val="TableParagraph"/>
              <w:spacing w:line="229" w:lineRule="exact"/>
              <w:rPr>
                <w:sz w:val="20"/>
              </w:rPr>
            </w:pPr>
            <w:r>
              <w:rPr>
                <w:spacing w:val="-2"/>
                <w:sz w:val="20"/>
              </w:rPr>
              <w:t xml:space="preserve">Fixed Term </w:t>
            </w:r>
          </w:p>
        </w:tc>
      </w:tr>
    </w:tbl>
    <w:p w14:paraId="0FCDF06B" w14:textId="77777777" w:rsidR="007A2F1C" w:rsidRDefault="007A2F1C">
      <w:pPr>
        <w:pStyle w:val="BodyText"/>
        <w:ind w:left="0"/>
        <w:rPr>
          <w:rFonts w:ascii="Times New Roman"/>
        </w:rPr>
      </w:pPr>
    </w:p>
    <w:p w14:paraId="29D5D241" w14:textId="30D305EC" w:rsidR="00FA2A34" w:rsidRPr="00FA2A34" w:rsidRDefault="00FA2A34" w:rsidP="00FA2A34">
      <w:pPr>
        <w:pStyle w:val="Heading1"/>
        <w:spacing w:before="187"/>
        <w:ind w:left="0" w:firstLine="0"/>
        <w:rPr>
          <w:rFonts w:ascii="Times New Roman"/>
        </w:rPr>
      </w:pPr>
      <w:r>
        <w:rPr>
          <w:color w:val="E10917"/>
        </w:rPr>
        <w:br/>
      </w:r>
      <w:r>
        <w:rPr>
          <w:color w:val="E10917"/>
        </w:rPr>
        <w:br/>
      </w:r>
      <w:r>
        <w:rPr>
          <w:color w:val="E10917"/>
        </w:rPr>
        <w:br/>
      </w:r>
      <w:r>
        <w:rPr>
          <w:color w:val="E10917"/>
        </w:rPr>
        <w:br/>
      </w:r>
      <w:r>
        <w:rPr>
          <w:color w:val="E10917"/>
        </w:rPr>
        <w:br/>
      </w:r>
      <w:r>
        <w:rPr>
          <w:color w:val="E10917"/>
        </w:rPr>
        <w:br/>
      </w:r>
      <w:r>
        <w:rPr>
          <w:color w:val="E10917"/>
        </w:rPr>
        <w:br/>
      </w:r>
      <w:r>
        <w:rPr>
          <w:color w:val="E10917"/>
        </w:rPr>
        <w:br/>
      </w:r>
      <w:r>
        <w:rPr>
          <w:color w:val="E10917"/>
        </w:rPr>
        <w:br/>
      </w:r>
      <w:r>
        <w:rPr>
          <w:color w:val="E10917"/>
        </w:rPr>
        <w:br/>
      </w:r>
      <w:r w:rsidR="00735317">
        <w:rPr>
          <w:color w:val="E10917"/>
        </w:rPr>
        <w:t>Position</w:t>
      </w:r>
      <w:r w:rsidR="00735317">
        <w:rPr>
          <w:color w:val="E10917"/>
          <w:spacing w:val="-6"/>
        </w:rPr>
        <w:t xml:space="preserve"> </w:t>
      </w:r>
      <w:r w:rsidR="00735317">
        <w:rPr>
          <w:color w:val="E10917"/>
          <w:spacing w:val="-2"/>
        </w:rPr>
        <w:t>Purpose</w:t>
      </w:r>
    </w:p>
    <w:p w14:paraId="0586EEBB" w14:textId="0A924E63" w:rsidR="0009039C" w:rsidRPr="0009039C" w:rsidRDefault="00F14391" w:rsidP="00E17246">
      <w:pPr>
        <w:pStyle w:val="BodyText"/>
        <w:spacing w:before="187"/>
        <w:ind w:left="0" w:right="1400"/>
        <w:jc w:val="both"/>
        <w:rPr>
          <w:color w:val="000000" w:themeColor="text1"/>
          <w:lang w:val="en-AU"/>
        </w:rPr>
      </w:pPr>
      <w:r w:rsidRPr="0009039C">
        <w:rPr>
          <w:color w:val="000000" w:themeColor="text1"/>
          <w:lang w:val="en-AU"/>
        </w:rPr>
        <w:t xml:space="preserve">The </w:t>
      </w:r>
      <w:r w:rsidR="00F30EAA">
        <w:rPr>
          <w:color w:val="000000" w:themeColor="text1"/>
          <w:lang w:val="en-AU"/>
        </w:rPr>
        <w:t>Service Centre Senior Analyst</w:t>
      </w:r>
      <w:r w:rsidRPr="0009039C">
        <w:rPr>
          <w:color w:val="000000" w:themeColor="text1"/>
          <w:lang w:val="en-AU"/>
        </w:rPr>
        <w:t xml:space="preserve"> plays a key role in supporting the integrity and efficiency of financial operations across the University. This position is responsible for ensuring accurate and compliant financial processing, with a strong focus on customer service, attention to detail, and problem-solving.</w:t>
      </w:r>
    </w:p>
    <w:p w14:paraId="3C2A8046" w14:textId="65C6D715" w:rsidR="00F14391" w:rsidRPr="0009039C" w:rsidRDefault="00F14391" w:rsidP="00E17246">
      <w:pPr>
        <w:pStyle w:val="BodyText"/>
        <w:spacing w:before="187"/>
        <w:ind w:left="0" w:right="1400"/>
        <w:jc w:val="both"/>
        <w:rPr>
          <w:color w:val="000000" w:themeColor="text1"/>
          <w:lang w:val="en-AU"/>
        </w:rPr>
      </w:pPr>
      <w:r w:rsidRPr="0009039C">
        <w:rPr>
          <w:color w:val="000000" w:themeColor="text1"/>
          <w:lang w:val="en-AU"/>
        </w:rPr>
        <w:t xml:space="preserve">The incumbent will apply their finance systems knowledge and understanding of legal invoice requirements to perform </w:t>
      </w:r>
      <w:r w:rsidR="0009039C" w:rsidRPr="0009039C">
        <w:rPr>
          <w:color w:val="000000" w:themeColor="text1"/>
          <w:lang w:val="en-AU"/>
        </w:rPr>
        <w:t xml:space="preserve">detailed </w:t>
      </w:r>
      <w:r w:rsidRPr="0009039C">
        <w:rPr>
          <w:color w:val="000000" w:themeColor="text1"/>
          <w:lang w:val="en-AU"/>
        </w:rPr>
        <w:t>reconciliations and support payables functions. They will work autonomously and collaboratively to prioritise tasks, resolve issues, and contribute to continuous improvement in finance operations.</w:t>
      </w:r>
    </w:p>
    <w:p w14:paraId="08262136" w14:textId="77777777" w:rsidR="00735826" w:rsidRPr="00D2493F" w:rsidRDefault="00735826" w:rsidP="00E17246">
      <w:pPr>
        <w:pStyle w:val="BodyText"/>
        <w:spacing w:before="187"/>
        <w:ind w:left="0" w:right="1402"/>
        <w:jc w:val="both"/>
      </w:pPr>
      <w:r w:rsidRPr="00D2493F">
        <w:t>This role is critical to fraud and corruption control at the University. The incumbent will ensure they understand and apply the University’s Fraud and Corruption Control Framework and effectively manage prevention, detection, and reporting controls within their function. </w:t>
      </w:r>
    </w:p>
    <w:p w14:paraId="7CAD1A88" w14:textId="6B9244FF" w:rsidR="0009039C" w:rsidRDefault="0009039C" w:rsidP="00E17246">
      <w:pPr>
        <w:pStyle w:val="BodyText"/>
        <w:spacing w:before="187"/>
        <w:ind w:left="0" w:right="1402"/>
        <w:jc w:val="both"/>
      </w:pPr>
      <w:r>
        <w:t xml:space="preserve">The </w:t>
      </w:r>
      <w:r w:rsidR="00D2493F">
        <w:t>Service Centre Senior Analyst</w:t>
      </w:r>
      <w:r>
        <w:t xml:space="preserve"> is a team player who supports both their immediate function</w:t>
      </w:r>
      <w:r>
        <w:rPr>
          <w:spacing w:val="-5"/>
        </w:rPr>
        <w:t xml:space="preserve"> </w:t>
      </w:r>
      <w:r>
        <w:t>and</w:t>
      </w:r>
      <w:r>
        <w:rPr>
          <w:spacing w:val="-3"/>
        </w:rPr>
        <w:t xml:space="preserve"> </w:t>
      </w:r>
      <w:r>
        <w:t>broader</w:t>
      </w:r>
      <w:r>
        <w:rPr>
          <w:spacing w:val="-4"/>
        </w:rPr>
        <w:t xml:space="preserve"> </w:t>
      </w:r>
      <w:r w:rsidR="00C91B48">
        <w:t>Service Centre</w:t>
      </w:r>
      <w:r>
        <w:t>.</w:t>
      </w:r>
      <w:r>
        <w:rPr>
          <w:spacing w:val="40"/>
        </w:rPr>
        <w:t xml:space="preserve"> </w:t>
      </w:r>
      <w:r>
        <w:t>The</w:t>
      </w:r>
      <w:r>
        <w:rPr>
          <w:spacing w:val="-2"/>
        </w:rPr>
        <w:t xml:space="preserve"> </w:t>
      </w:r>
      <w:r>
        <w:t>incumbent</w:t>
      </w:r>
      <w:r>
        <w:rPr>
          <w:spacing w:val="-4"/>
        </w:rPr>
        <w:t xml:space="preserve"> </w:t>
      </w:r>
      <w:r>
        <w:t>may</w:t>
      </w:r>
      <w:r>
        <w:rPr>
          <w:spacing w:val="-3"/>
        </w:rPr>
        <w:t xml:space="preserve"> </w:t>
      </w:r>
      <w:r>
        <w:t>be</w:t>
      </w:r>
      <w:r>
        <w:rPr>
          <w:spacing w:val="-5"/>
        </w:rPr>
        <w:t xml:space="preserve"> </w:t>
      </w:r>
      <w:r>
        <w:t>required</w:t>
      </w:r>
      <w:r>
        <w:rPr>
          <w:spacing w:val="-5"/>
        </w:rPr>
        <w:t xml:space="preserve"> </w:t>
      </w:r>
      <w:r>
        <w:t>to</w:t>
      </w:r>
      <w:r>
        <w:rPr>
          <w:spacing w:val="-4"/>
        </w:rPr>
        <w:t xml:space="preserve"> </w:t>
      </w:r>
      <w:r>
        <w:t>work flexibly across finance disciplines through job rotation or to support team workloads.</w:t>
      </w:r>
    </w:p>
    <w:p w14:paraId="27465EFF" w14:textId="77777777" w:rsidR="007A2F1C" w:rsidRDefault="00735317" w:rsidP="00996BF2">
      <w:pPr>
        <w:pStyle w:val="Heading1"/>
        <w:tabs>
          <w:tab w:val="left" w:pos="1001"/>
        </w:tabs>
        <w:spacing w:before="187"/>
        <w:ind w:left="0" w:firstLine="0"/>
      </w:pPr>
      <w:r>
        <w:rPr>
          <w:color w:val="E10917"/>
        </w:rPr>
        <w:t>Eligibility</w:t>
      </w:r>
      <w:r>
        <w:rPr>
          <w:color w:val="E10917"/>
          <w:spacing w:val="-7"/>
        </w:rPr>
        <w:t xml:space="preserve"> </w:t>
      </w:r>
      <w:r>
        <w:rPr>
          <w:color w:val="E10917"/>
          <w:spacing w:val="-2"/>
        </w:rPr>
        <w:t>Requirements</w:t>
      </w:r>
    </w:p>
    <w:p w14:paraId="51B72192" w14:textId="6DADC00D" w:rsidR="007A2F1C" w:rsidRPr="001F5F0E" w:rsidRDefault="00735317" w:rsidP="001F5F0E">
      <w:pPr>
        <w:pStyle w:val="ListParagraph"/>
        <w:numPr>
          <w:ilvl w:val="0"/>
          <w:numId w:val="6"/>
        </w:numPr>
        <w:tabs>
          <w:tab w:val="left" w:pos="1321"/>
        </w:tabs>
        <w:spacing w:before="187" w:line="269" w:lineRule="auto"/>
        <w:ind w:right="1400"/>
        <w:rPr>
          <w:sz w:val="20"/>
        </w:rPr>
      </w:pPr>
      <w:r w:rsidRPr="001F5F0E">
        <w:rPr>
          <w:sz w:val="20"/>
        </w:rPr>
        <w:t>The</w:t>
      </w:r>
      <w:r w:rsidRPr="001F5F0E">
        <w:rPr>
          <w:spacing w:val="-6"/>
          <w:sz w:val="20"/>
        </w:rPr>
        <w:t xml:space="preserve"> </w:t>
      </w:r>
      <w:r w:rsidRPr="001F5F0E">
        <w:rPr>
          <w:sz w:val="20"/>
        </w:rPr>
        <w:t>occupant</w:t>
      </w:r>
      <w:r w:rsidRPr="001F5F0E">
        <w:rPr>
          <w:spacing w:val="-3"/>
          <w:sz w:val="20"/>
        </w:rPr>
        <w:t xml:space="preserve"> </w:t>
      </w:r>
      <w:r w:rsidRPr="001F5F0E">
        <w:rPr>
          <w:sz w:val="20"/>
        </w:rPr>
        <w:t>of</w:t>
      </w:r>
      <w:r w:rsidRPr="001F5F0E">
        <w:rPr>
          <w:spacing w:val="-5"/>
          <w:sz w:val="20"/>
        </w:rPr>
        <w:t xml:space="preserve"> </w:t>
      </w:r>
      <w:r w:rsidRPr="001F5F0E">
        <w:rPr>
          <w:sz w:val="20"/>
        </w:rPr>
        <w:t>this</w:t>
      </w:r>
      <w:r w:rsidRPr="001F5F0E">
        <w:rPr>
          <w:spacing w:val="-4"/>
          <w:sz w:val="20"/>
        </w:rPr>
        <w:t xml:space="preserve"> </w:t>
      </w:r>
      <w:r w:rsidRPr="001F5F0E">
        <w:rPr>
          <w:sz w:val="20"/>
        </w:rPr>
        <w:t>position</w:t>
      </w:r>
      <w:r w:rsidRPr="001F5F0E">
        <w:rPr>
          <w:spacing w:val="-5"/>
          <w:sz w:val="20"/>
        </w:rPr>
        <w:t xml:space="preserve"> </w:t>
      </w:r>
      <w:r w:rsidRPr="001F5F0E">
        <w:rPr>
          <w:sz w:val="20"/>
        </w:rPr>
        <w:t>will</w:t>
      </w:r>
      <w:r w:rsidRPr="001F5F0E">
        <w:rPr>
          <w:spacing w:val="-4"/>
          <w:sz w:val="20"/>
        </w:rPr>
        <w:t xml:space="preserve"> </w:t>
      </w:r>
      <w:r w:rsidRPr="001F5F0E">
        <w:rPr>
          <w:sz w:val="20"/>
        </w:rPr>
        <w:t>hold</w:t>
      </w:r>
      <w:r w:rsidRPr="001F5F0E">
        <w:rPr>
          <w:spacing w:val="-5"/>
          <w:sz w:val="20"/>
        </w:rPr>
        <w:t xml:space="preserve"> </w:t>
      </w:r>
      <w:r w:rsidR="00E2577E">
        <w:rPr>
          <w:sz w:val="20"/>
        </w:rPr>
        <w:t>a</w:t>
      </w:r>
      <w:r w:rsidR="00E2577E" w:rsidRPr="001F5F0E">
        <w:rPr>
          <w:spacing w:val="-5"/>
          <w:sz w:val="20"/>
        </w:rPr>
        <w:t xml:space="preserve"> </w:t>
      </w:r>
      <w:r w:rsidRPr="001F5F0E">
        <w:rPr>
          <w:sz w:val="20"/>
        </w:rPr>
        <w:t>tertiary</w:t>
      </w:r>
      <w:r w:rsidRPr="001F5F0E">
        <w:rPr>
          <w:spacing w:val="-1"/>
          <w:sz w:val="20"/>
        </w:rPr>
        <w:t xml:space="preserve"> </w:t>
      </w:r>
      <w:r w:rsidRPr="001F5F0E">
        <w:rPr>
          <w:sz w:val="20"/>
        </w:rPr>
        <w:t>qualification</w:t>
      </w:r>
      <w:r w:rsidR="00E2577E" w:rsidRPr="001F5F0E">
        <w:rPr>
          <w:spacing w:val="-4"/>
          <w:sz w:val="20"/>
        </w:rPr>
        <w:t xml:space="preserve"> </w:t>
      </w:r>
      <w:r w:rsidR="00E2577E">
        <w:rPr>
          <w:sz w:val="20"/>
        </w:rPr>
        <w:t xml:space="preserve">with subsequent relevant </w:t>
      </w:r>
      <w:r w:rsidR="00402C8E">
        <w:rPr>
          <w:sz w:val="20"/>
        </w:rPr>
        <w:t>experience</w:t>
      </w:r>
      <w:r w:rsidR="00F37454">
        <w:rPr>
          <w:sz w:val="20"/>
        </w:rPr>
        <w:t>, or an equ</w:t>
      </w:r>
      <w:r w:rsidR="00611158">
        <w:rPr>
          <w:sz w:val="20"/>
        </w:rPr>
        <w:t>ivalent combination of relevant experience and/or education/training</w:t>
      </w:r>
      <w:r w:rsidRPr="001F5F0E">
        <w:rPr>
          <w:spacing w:val="-2"/>
          <w:sz w:val="20"/>
        </w:rPr>
        <w:t>.</w:t>
      </w:r>
    </w:p>
    <w:p w14:paraId="3CE4A62C" w14:textId="4A0AF979" w:rsidR="00F14391" w:rsidRPr="00996BF2" w:rsidRDefault="00735317" w:rsidP="00996BF2">
      <w:pPr>
        <w:pStyle w:val="Heading1"/>
        <w:tabs>
          <w:tab w:val="left" w:pos="1001"/>
        </w:tabs>
        <w:spacing w:before="187"/>
        <w:ind w:left="0" w:right="1400" w:firstLine="0"/>
      </w:pPr>
      <w:r>
        <w:rPr>
          <w:color w:val="E10917"/>
        </w:rPr>
        <w:t xml:space="preserve">Key </w:t>
      </w:r>
      <w:r>
        <w:rPr>
          <w:color w:val="E10917"/>
          <w:spacing w:val="-2"/>
        </w:rPr>
        <w:t>Responsibilities</w:t>
      </w:r>
    </w:p>
    <w:p w14:paraId="592E36F1" w14:textId="6B584647" w:rsidR="00F14391" w:rsidRPr="001F5F0E" w:rsidRDefault="00F14391" w:rsidP="001F5F0E">
      <w:pPr>
        <w:pStyle w:val="ListParagraph"/>
        <w:numPr>
          <w:ilvl w:val="0"/>
          <w:numId w:val="7"/>
        </w:numPr>
        <w:tabs>
          <w:tab w:val="left" w:pos="1321"/>
        </w:tabs>
        <w:spacing w:before="187"/>
        <w:ind w:right="1400"/>
        <w:jc w:val="both"/>
        <w:rPr>
          <w:color w:val="000000" w:themeColor="text1"/>
          <w:sz w:val="20"/>
          <w:lang w:val="en-AU"/>
        </w:rPr>
      </w:pPr>
      <w:r w:rsidRPr="001F5F0E">
        <w:rPr>
          <w:color w:val="000000" w:themeColor="text1"/>
          <w:sz w:val="20"/>
          <w:lang w:val="en-AU"/>
        </w:rPr>
        <w:t>Ensure financial transactions are processed accurately and in compliance with legal and regulatory requirements, particularly in relation to invoices and credit notes.</w:t>
      </w:r>
    </w:p>
    <w:p w14:paraId="31A401BD" w14:textId="6C9D2AEF" w:rsidR="00F14391" w:rsidRPr="001F5F0E" w:rsidRDefault="00F14391" w:rsidP="001F5F0E">
      <w:pPr>
        <w:pStyle w:val="ListParagraph"/>
        <w:numPr>
          <w:ilvl w:val="0"/>
          <w:numId w:val="7"/>
        </w:numPr>
        <w:tabs>
          <w:tab w:val="left" w:pos="1321"/>
        </w:tabs>
        <w:spacing w:before="187"/>
        <w:ind w:right="1400"/>
        <w:jc w:val="both"/>
        <w:rPr>
          <w:color w:val="000000" w:themeColor="text1"/>
          <w:sz w:val="20"/>
          <w:lang w:val="en-AU"/>
        </w:rPr>
      </w:pPr>
      <w:r w:rsidRPr="001F5F0E">
        <w:rPr>
          <w:color w:val="000000" w:themeColor="text1"/>
          <w:sz w:val="20"/>
          <w:lang w:val="en-AU"/>
        </w:rPr>
        <w:t>Perform reverse invoicing and reconciliation activities for Campus Life and Concur systems, ensuring timely and accurate reporting.</w:t>
      </w:r>
    </w:p>
    <w:p w14:paraId="5F9DED85" w14:textId="01A41FDB" w:rsidR="00F14391" w:rsidRPr="001F5F0E" w:rsidRDefault="00F14391" w:rsidP="1A1F282A">
      <w:pPr>
        <w:pStyle w:val="ListParagraph"/>
        <w:numPr>
          <w:ilvl w:val="0"/>
          <w:numId w:val="7"/>
        </w:numPr>
        <w:tabs>
          <w:tab w:val="left" w:pos="1321"/>
        </w:tabs>
        <w:spacing w:before="187"/>
        <w:ind w:right="1400"/>
        <w:jc w:val="both"/>
        <w:rPr>
          <w:color w:val="000000" w:themeColor="text1"/>
          <w:sz w:val="20"/>
          <w:szCs w:val="20"/>
          <w:lang w:val="en-AU"/>
        </w:rPr>
      </w:pPr>
      <w:r>
        <w:t xml:space="preserve"> </w:t>
      </w:r>
      <w:r w:rsidR="0026709E" w:rsidRPr="1A1F282A">
        <w:rPr>
          <w:color w:val="000000" w:themeColor="text1"/>
          <w:sz w:val="20"/>
          <w:szCs w:val="20"/>
          <w:lang w:val="en-AU"/>
        </w:rPr>
        <w:t xml:space="preserve">Build team capability through guidance, training, coaching and advice on complex cases, </w:t>
      </w:r>
      <w:r w:rsidR="00DA51CD" w:rsidRPr="1A1F282A">
        <w:rPr>
          <w:color w:val="000000" w:themeColor="text1"/>
          <w:sz w:val="20"/>
          <w:szCs w:val="20"/>
          <w:lang w:val="en-AU"/>
        </w:rPr>
        <w:t>supporting</w:t>
      </w:r>
      <w:r w:rsidR="0026709E" w:rsidRPr="1A1F282A">
        <w:rPr>
          <w:color w:val="000000" w:themeColor="text1"/>
          <w:sz w:val="20"/>
          <w:szCs w:val="20"/>
          <w:lang w:val="en-AU"/>
        </w:rPr>
        <w:t xml:space="preserve"> operational effectiveness</w:t>
      </w:r>
      <w:r w:rsidR="00DA51CD" w:rsidRPr="1A1F282A">
        <w:rPr>
          <w:color w:val="000000" w:themeColor="text1"/>
          <w:sz w:val="20"/>
          <w:szCs w:val="20"/>
          <w:lang w:val="en-AU"/>
        </w:rPr>
        <w:t>,</w:t>
      </w:r>
      <w:r w:rsidRPr="1A1F282A">
        <w:rPr>
          <w:color w:val="000000" w:themeColor="text1"/>
          <w:sz w:val="20"/>
          <w:szCs w:val="20"/>
          <w:lang w:val="en-AU"/>
        </w:rPr>
        <w:t xml:space="preserve"> workload management and issue resolution.</w:t>
      </w:r>
    </w:p>
    <w:p w14:paraId="24CCFA09" w14:textId="60F901C9" w:rsidR="00E22D6C" w:rsidRPr="007D7DE3" w:rsidRDefault="00F14391" w:rsidP="1A1F282A">
      <w:pPr>
        <w:pStyle w:val="ListParagraph"/>
        <w:numPr>
          <w:ilvl w:val="0"/>
          <w:numId w:val="7"/>
        </w:numPr>
        <w:tabs>
          <w:tab w:val="left" w:pos="1321"/>
        </w:tabs>
        <w:spacing w:before="187"/>
        <w:ind w:right="1400"/>
        <w:jc w:val="both"/>
        <w:rPr>
          <w:color w:val="000000" w:themeColor="text1"/>
          <w:sz w:val="20"/>
          <w:szCs w:val="20"/>
          <w:lang w:val="en-AU"/>
          <w:rPrChange w:id="0" w:author="" w16du:dateUtc="2026-01-05T03:25:00Z">
            <w:rPr>
              <w:lang w:val="en-AU"/>
            </w:rPr>
          </w:rPrChange>
        </w:rPr>
      </w:pPr>
      <w:r w:rsidRPr="1A1F282A">
        <w:rPr>
          <w:color w:val="000000" w:themeColor="text1"/>
          <w:sz w:val="20"/>
          <w:szCs w:val="20"/>
          <w:lang w:val="en-AU"/>
        </w:rPr>
        <w:t xml:space="preserve">Deliver high-quality customer service to internal </w:t>
      </w:r>
      <w:r w:rsidR="003A609E" w:rsidRPr="1A1F282A">
        <w:rPr>
          <w:color w:val="000000" w:themeColor="text1"/>
          <w:sz w:val="20"/>
          <w:szCs w:val="20"/>
          <w:lang w:val="en-AU"/>
        </w:rPr>
        <w:t xml:space="preserve">and external </w:t>
      </w:r>
      <w:r w:rsidRPr="1A1F282A">
        <w:rPr>
          <w:color w:val="000000" w:themeColor="text1"/>
          <w:sz w:val="20"/>
          <w:szCs w:val="20"/>
          <w:lang w:val="en-AU"/>
        </w:rPr>
        <w:t>stakeholders, responding to queries and resolving issues with professionalism and efficiency.</w:t>
      </w:r>
    </w:p>
    <w:p w14:paraId="29980FA9" w14:textId="5DE2D81E" w:rsidR="0009039C" w:rsidRDefault="00931C37" w:rsidP="1A1F282A">
      <w:pPr>
        <w:pStyle w:val="ListParagraph"/>
        <w:numPr>
          <w:ilvl w:val="0"/>
          <w:numId w:val="7"/>
        </w:numPr>
        <w:tabs>
          <w:tab w:val="left" w:pos="1321"/>
        </w:tabs>
        <w:spacing w:before="187"/>
        <w:ind w:right="1400"/>
        <w:jc w:val="both"/>
        <w:rPr>
          <w:color w:val="000000" w:themeColor="text1"/>
          <w:sz w:val="20"/>
          <w:szCs w:val="20"/>
          <w:lang w:val="en-AU"/>
        </w:rPr>
      </w:pPr>
      <w:r w:rsidRPr="1A1F282A">
        <w:rPr>
          <w:sz w:val="20"/>
          <w:szCs w:val="20"/>
        </w:rPr>
        <w:t>Maintain and advance knowledge of finance systems, trends, and legislation to effectively support financial operations, ensure compliance, and drive best-practice</w:t>
      </w:r>
      <w:r w:rsidR="00F14391" w:rsidRPr="1A1F282A">
        <w:rPr>
          <w:color w:val="000000" w:themeColor="text1"/>
          <w:sz w:val="20"/>
          <w:szCs w:val="20"/>
          <w:lang w:val="en-AU"/>
        </w:rPr>
        <w:t xml:space="preserve"> improvements that enhance operational efficiency and accuracy</w:t>
      </w:r>
      <w:r w:rsidR="52B7C627" w:rsidRPr="1A1F282A">
        <w:rPr>
          <w:color w:val="000000" w:themeColor="text1"/>
          <w:sz w:val="20"/>
          <w:szCs w:val="20"/>
          <w:lang w:val="en-AU"/>
        </w:rPr>
        <w:t>.</w:t>
      </w:r>
    </w:p>
    <w:p w14:paraId="7346C2A8" w14:textId="08DF9156" w:rsidR="00F14391" w:rsidRPr="001F5F0E" w:rsidRDefault="00F14391" w:rsidP="1A1F282A">
      <w:pPr>
        <w:pStyle w:val="ListParagraph"/>
        <w:tabs>
          <w:tab w:val="left" w:pos="1321"/>
        </w:tabs>
        <w:spacing w:before="187"/>
        <w:ind w:left="720" w:right="1400"/>
        <w:jc w:val="both"/>
        <w:rPr>
          <w:color w:val="000000" w:themeColor="text1"/>
          <w:sz w:val="20"/>
          <w:szCs w:val="20"/>
          <w:lang w:val="en-AU"/>
        </w:rPr>
      </w:pPr>
    </w:p>
    <w:p w14:paraId="10BABAB7" w14:textId="082CD5B1" w:rsidR="00F14391" w:rsidRPr="001F5F0E" w:rsidRDefault="00F14391" w:rsidP="1A1F282A">
      <w:pPr>
        <w:numPr>
          <w:ilvl w:val="0"/>
          <w:numId w:val="7"/>
        </w:numPr>
        <w:tabs>
          <w:tab w:val="left" w:pos="1321"/>
        </w:tabs>
        <w:spacing w:before="187"/>
        <w:ind w:right="1400"/>
        <w:jc w:val="both"/>
        <w:rPr>
          <w:color w:val="000000" w:themeColor="text1"/>
          <w:sz w:val="20"/>
          <w:szCs w:val="20"/>
          <w:lang w:val="en-AU"/>
        </w:rPr>
      </w:pPr>
      <w:r w:rsidRPr="1A1F282A">
        <w:rPr>
          <w:sz w:val="20"/>
          <w:szCs w:val="20"/>
          <w:lang w:val="en-AU"/>
        </w:rPr>
        <w:t xml:space="preserve">Work autonomously to manage competing priorities and solve problems, escalating complex </w:t>
      </w:r>
      <w:r w:rsidRPr="1A1F282A">
        <w:rPr>
          <w:sz w:val="20"/>
          <w:szCs w:val="20"/>
          <w:lang w:val="en-AU"/>
        </w:rPr>
        <w:lastRenderedPageBreak/>
        <w:t>issues where necessary.</w:t>
      </w:r>
      <w:r w:rsidR="0009039C" w:rsidRPr="1A1F282A">
        <w:rPr>
          <w:sz w:val="20"/>
          <w:szCs w:val="20"/>
          <w:lang w:val="en-AU"/>
        </w:rPr>
        <w:t xml:space="preserve"> </w:t>
      </w:r>
    </w:p>
    <w:p w14:paraId="367D36C6" w14:textId="77777777" w:rsidR="0009039C" w:rsidRPr="001F5F0E" w:rsidRDefault="00F14391" w:rsidP="001F5F0E">
      <w:pPr>
        <w:pStyle w:val="ListParagraph"/>
        <w:numPr>
          <w:ilvl w:val="0"/>
          <w:numId w:val="7"/>
        </w:numPr>
        <w:tabs>
          <w:tab w:val="left" w:pos="1321"/>
        </w:tabs>
        <w:spacing w:before="187"/>
        <w:ind w:right="1400"/>
        <w:jc w:val="both"/>
        <w:rPr>
          <w:color w:val="000000" w:themeColor="text1"/>
          <w:sz w:val="20"/>
          <w:lang w:val="en-AU"/>
        </w:rPr>
      </w:pPr>
      <w:r w:rsidRPr="001F5F0E">
        <w:rPr>
          <w:color w:val="000000" w:themeColor="text1"/>
          <w:sz w:val="20"/>
          <w:lang w:val="en-AU"/>
        </w:rPr>
        <w:t>Maintain a strong attention to detail in all financial processing and reporting activities.</w:t>
      </w:r>
    </w:p>
    <w:p w14:paraId="6F159713" w14:textId="38B2AC15" w:rsidR="0009039C" w:rsidRPr="001F5F0E" w:rsidRDefault="00F14391" w:rsidP="001F5F0E">
      <w:pPr>
        <w:pStyle w:val="ListParagraph"/>
        <w:numPr>
          <w:ilvl w:val="0"/>
          <w:numId w:val="7"/>
        </w:numPr>
        <w:tabs>
          <w:tab w:val="left" w:pos="1321"/>
        </w:tabs>
        <w:spacing w:before="187"/>
        <w:ind w:right="1400"/>
        <w:jc w:val="both"/>
        <w:rPr>
          <w:color w:val="000000" w:themeColor="text1"/>
          <w:sz w:val="20"/>
          <w:lang w:val="en-AU"/>
        </w:rPr>
      </w:pPr>
      <w:r w:rsidRPr="001F5F0E">
        <w:rPr>
          <w:color w:val="000000" w:themeColor="text1"/>
          <w:sz w:val="20"/>
          <w:lang w:val="en-AU"/>
        </w:rPr>
        <w:t>Promote and demonstrate cultural behaviour in accordance with the Fraud and Corruption Control Framework and the University's Integrity program.</w:t>
      </w:r>
      <w:r w:rsidR="008B61D3">
        <w:rPr>
          <w:color w:val="000000" w:themeColor="text1"/>
          <w:sz w:val="20"/>
          <w:lang w:val="en-AU"/>
        </w:rPr>
        <w:t xml:space="preserve"> </w:t>
      </w:r>
      <w:r w:rsidR="008B61D3" w:rsidRPr="008B61D3">
        <w:rPr>
          <w:color w:val="000000" w:themeColor="text1"/>
          <w:sz w:val="20"/>
        </w:rPr>
        <w:t>This includes acting with integrity in undertaking duties and implementing processes to effectively prevent, detect, and respond to fraud and corruption within the University.  </w:t>
      </w:r>
    </w:p>
    <w:p w14:paraId="1087AB3F" w14:textId="469F9460" w:rsidR="00F14391" w:rsidRPr="001F5F0E" w:rsidRDefault="00F14391" w:rsidP="001F5F0E">
      <w:pPr>
        <w:pStyle w:val="ListParagraph"/>
        <w:numPr>
          <w:ilvl w:val="0"/>
          <w:numId w:val="7"/>
        </w:numPr>
        <w:tabs>
          <w:tab w:val="left" w:pos="1321"/>
        </w:tabs>
        <w:spacing w:before="187"/>
        <w:ind w:right="1400"/>
        <w:jc w:val="both"/>
        <w:rPr>
          <w:color w:val="000000" w:themeColor="text1"/>
          <w:sz w:val="20"/>
          <w:lang w:val="en-AU"/>
        </w:rPr>
      </w:pPr>
      <w:r w:rsidRPr="001F5F0E">
        <w:rPr>
          <w:color w:val="000000" w:themeColor="text1"/>
          <w:sz w:val="20"/>
          <w:lang w:val="en-AU"/>
        </w:rPr>
        <w:t xml:space="preserve">Be a leading example of the principles and values embodied in the University’s Code of Conduct, and behave, act and </w:t>
      </w:r>
      <w:proofErr w:type="gramStart"/>
      <w:r w:rsidRPr="001F5F0E">
        <w:rPr>
          <w:color w:val="000000" w:themeColor="text1"/>
          <w:sz w:val="20"/>
          <w:lang w:val="en-AU"/>
        </w:rPr>
        <w:t>communicate at all times</w:t>
      </w:r>
      <w:proofErr w:type="gramEnd"/>
      <w:r w:rsidRPr="001F5F0E">
        <w:rPr>
          <w:color w:val="000000" w:themeColor="text1"/>
          <w:sz w:val="20"/>
          <w:lang w:val="en-AU"/>
        </w:rPr>
        <w:t xml:space="preserve"> to reflect fairness, ethics and professionalism.</w:t>
      </w:r>
    </w:p>
    <w:p w14:paraId="3409EB47" w14:textId="77777777" w:rsidR="007A2F1C" w:rsidRDefault="00735317" w:rsidP="00996BF2">
      <w:pPr>
        <w:pStyle w:val="Heading1"/>
        <w:tabs>
          <w:tab w:val="left" w:pos="1001"/>
        </w:tabs>
        <w:spacing w:before="187"/>
        <w:ind w:left="0" w:firstLine="0"/>
        <w:jc w:val="both"/>
      </w:pPr>
      <w:r>
        <w:rPr>
          <w:color w:val="E10917"/>
        </w:rPr>
        <w:t xml:space="preserve">Key </w:t>
      </w:r>
      <w:r>
        <w:rPr>
          <w:color w:val="E10917"/>
          <w:spacing w:val="-2"/>
        </w:rPr>
        <w:t>Capabilities</w:t>
      </w:r>
    </w:p>
    <w:p w14:paraId="70988623" w14:textId="171EC3BA" w:rsidR="007A2F1C" w:rsidRPr="00996BF2" w:rsidRDefault="00735317" w:rsidP="00996BF2">
      <w:pPr>
        <w:tabs>
          <w:tab w:val="left" w:pos="1321"/>
        </w:tabs>
        <w:spacing w:before="187" w:line="273" w:lineRule="auto"/>
        <w:ind w:right="1400"/>
        <w:jc w:val="both"/>
        <w:rPr>
          <w:sz w:val="20"/>
        </w:rPr>
      </w:pPr>
      <w:r w:rsidRPr="00996BF2">
        <w:rPr>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w:t>
      </w:r>
      <w:r w:rsidRPr="00996BF2">
        <w:rPr>
          <w:spacing w:val="-5"/>
          <w:sz w:val="20"/>
        </w:rPr>
        <w:t xml:space="preserve"> </w:t>
      </w:r>
      <w:r w:rsidRPr="00996BF2">
        <w:rPr>
          <w:sz w:val="20"/>
        </w:rPr>
        <w:t>of</w:t>
      </w:r>
      <w:r w:rsidRPr="00996BF2">
        <w:rPr>
          <w:spacing w:val="-4"/>
          <w:sz w:val="20"/>
        </w:rPr>
        <w:t xml:space="preserve"> </w:t>
      </w:r>
      <w:r w:rsidRPr="00996BF2">
        <w:rPr>
          <w:sz w:val="20"/>
        </w:rPr>
        <w:t>some</w:t>
      </w:r>
      <w:r w:rsidRPr="00996BF2">
        <w:rPr>
          <w:spacing w:val="-4"/>
          <w:sz w:val="20"/>
        </w:rPr>
        <w:t xml:space="preserve"> </w:t>
      </w:r>
      <w:r w:rsidRPr="00996BF2">
        <w:rPr>
          <w:sz w:val="20"/>
        </w:rPr>
        <w:t>of</w:t>
      </w:r>
      <w:r w:rsidRPr="00996BF2">
        <w:rPr>
          <w:spacing w:val="-2"/>
          <w:sz w:val="20"/>
        </w:rPr>
        <w:t xml:space="preserve"> </w:t>
      </w:r>
      <w:r w:rsidRPr="00996BF2">
        <w:rPr>
          <w:sz w:val="20"/>
        </w:rPr>
        <w:t>the</w:t>
      </w:r>
      <w:r w:rsidRPr="00996BF2">
        <w:rPr>
          <w:spacing w:val="-3"/>
          <w:sz w:val="20"/>
        </w:rPr>
        <w:t xml:space="preserve"> </w:t>
      </w:r>
      <w:r w:rsidRPr="00996BF2">
        <w:rPr>
          <w:sz w:val="20"/>
        </w:rPr>
        <w:t>non-technical</w:t>
      </w:r>
      <w:r w:rsidRPr="00996BF2">
        <w:rPr>
          <w:spacing w:val="-3"/>
          <w:sz w:val="20"/>
        </w:rPr>
        <w:t xml:space="preserve"> </w:t>
      </w:r>
      <w:r w:rsidRPr="00996BF2">
        <w:rPr>
          <w:sz w:val="20"/>
        </w:rPr>
        <w:t>organisation</w:t>
      </w:r>
      <w:r w:rsidRPr="00996BF2">
        <w:rPr>
          <w:spacing w:val="-5"/>
          <w:sz w:val="20"/>
        </w:rPr>
        <w:t xml:space="preserve"> </w:t>
      </w:r>
      <w:r w:rsidRPr="00996BF2">
        <w:rPr>
          <w:sz w:val="20"/>
        </w:rPr>
        <w:t>skills</w:t>
      </w:r>
      <w:r w:rsidRPr="00996BF2">
        <w:rPr>
          <w:spacing w:val="-3"/>
          <w:sz w:val="20"/>
        </w:rPr>
        <w:t xml:space="preserve"> </w:t>
      </w:r>
      <w:r w:rsidRPr="00996BF2">
        <w:rPr>
          <w:sz w:val="20"/>
        </w:rPr>
        <w:t>that</w:t>
      </w:r>
      <w:r w:rsidRPr="00996BF2">
        <w:rPr>
          <w:spacing w:val="-4"/>
          <w:sz w:val="20"/>
        </w:rPr>
        <w:t xml:space="preserve"> </w:t>
      </w:r>
      <w:r w:rsidRPr="00996BF2">
        <w:rPr>
          <w:sz w:val="20"/>
        </w:rPr>
        <w:t>will</w:t>
      </w:r>
      <w:r w:rsidRPr="00996BF2">
        <w:rPr>
          <w:spacing w:val="-5"/>
          <w:sz w:val="20"/>
        </w:rPr>
        <w:t xml:space="preserve"> </w:t>
      </w:r>
      <w:r w:rsidRPr="00996BF2">
        <w:rPr>
          <w:sz w:val="20"/>
        </w:rPr>
        <w:t>support</w:t>
      </w:r>
      <w:r w:rsidRPr="00996BF2">
        <w:rPr>
          <w:spacing w:val="-4"/>
          <w:sz w:val="20"/>
        </w:rPr>
        <w:t xml:space="preserve"> </w:t>
      </w:r>
      <w:r w:rsidRPr="00996BF2">
        <w:rPr>
          <w:sz w:val="20"/>
        </w:rPr>
        <w:t>our staff to thrive now and into the future. The Capability Development Framework will assist you to understand the current skill level of this position in the non-technical but critical skill domains that are increasingly important</w:t>
      </w:r>
      <w:r w:rsidRPr="00996BF2">
        <w:rPr>
          <w:spacing w:val="40"/>
          <w:sz w:val="20"/>
        </w:rPr>
        <w:t xml:space="preserve"> </w:t>
      </w:r>
      <w:r w:rsidRPr="00996BF2">
        <w:rPr>
          <w:sz w:val="20"/>
        </w:rPr>
        <w:t>in a changing workplace context.</w:t>
      </w:r>
    </w:p>
    <w:p w14:paraId="265EE307" w14:textId="77777777" w:rsidR="007A2F1C" w:rsidRDefault="00735317" w:rsidP="00996BF2">
      <w:pPr>
        <w:pStyle w:val="BodyText"/>
        <w:spacing w:before="187" w:line="276" w:lineRule="auto"/>
        <w:ind w:left="0" w:right="1400"/>
        <w:jc w:val="both"/>
      </w:pPr>
      <w:r>
        <w:t>To read about some of the non-technical organisation skills for this position,</w:t>
      </w:r>
      <w:r>
        <w:rPr>
          <w:spacing w:val="-3"/>
        </w:rPr>
        <w:t xml:space="preserve"> </w:t>
      </w:r>
      <w:r>
        <w:t>please</w:t>
      </w:r>
      <w:r>
        <w:rPr>
          <w:spacing w:val="-5"/>
        </w:rPr>
        <w:t xml:space="preserve"> </w:t>
      </w:r>
      <w:r>
        <w:t>see</w:t>
      </w:r>
      <w:r>
        <w:rPr>
          <w:spacing w:val="-5"/>
        </w:rPr>
        <w:t xml:space="preserve"> </w:t>
      </w:r>
      <w:r>
        <w:t>the</w:t>
      </w:r>
      <w:r>
        <w:rPr>
          <w:spacing w:val="-5"/>
        </w:rPr>
        <w:t xml:space="preserve"> </w:t>
      </w:r>
      <w:r>
        <w:t>Leads</w:t>
      </w:r>
      <w:r>
        <w:rPr>
          <w:spacing w:val="-4"/>
        </w:rPr>
        <w:t xml:space="preserve"> </w:t>
      </w:r>
      <w:r>
        <w:t>Self</w:t>
      </w:r>
      <w:r>
        <w:rPr>
          <w:spacing w:val="-5"/>
        </w:rPr>
        <w:t xml:space="preserve"> </w:t>
      </w:r>
      <w:r>
        <w:t>section</w:t>
      </w:r>
      <w:r>
        <w:rPr>
          <w:spacing w:val="-4"/>
        </w:rPr>
        <w:t xml:space="preserve"> </w:t>
      </w:r>
      <w:r>
        <w:t>of</w:t>
      </w:r>
      <w:r>
        <w:rPr>
          <w:spacing w:val="-3"/>
        </w:rPr>
        <w:t xml:space="preserve"> </w:t>
      </w:r>
      <w:r>
        <w:t xml:space="preserve">our </w:t>
      </w:r>
      <w:hyperlink r:id="rId12">
        <w:r>
          <w:rPr>
            <w:color w:val="1154CC"/>
            <w:u w:val="single" w:color="1154CC"/>
          </w:rPr>
          <w:t>Capability</w:t>
        </w:r>
        <w:r>
          <w:rPr>
            <w:color w:val="1154CC"/>
            <w:spacing w:val="-4"/>
            <w:u w:val="single" w:color="1154CC"/>
          </w:rPr>
          <w:t xml:space="preserve"> </w:t>
        </w:r>
        <w:r>
          <w:rPr>
            <w:color w:val="1154CC"/>
            <w:u w:val="single" w:color="1154CC"/>
          </w:rPr>
          <w:t>Development</w:t>
        </w:r>
      </w:hyperlink>
      <w:r>
        <w:rPr>
          <w:color w:val="1154CC"/>
        </w:rPr>
        <w:t xml:space="preserve"> </w:t>
      </w:r>
      <w:hyperlink r:id="rId13">
        <w:r>
          <w:rPr>
            <w:color w:val="1154CC"/>
            <w:spacing w:val="-2"/>
            <w:u w:val="single" w:color="1154CC"/>
          </w:rPr>
          <w:t>Framework</w:t>
        </w:r>
        <w:r>
          <w:rPr>
            <w:spacing w:val="-2"/>
          </w:rPr>
          <w:t>.</w:t>
        </w:r>
      </w:hyperlink>
    </w:p>
    <w:sectPr w:rsidR="007A2F1C">
      <w:pgSz w:w="11910" w:h="16840"/>
      <w:pgMar w:top="1360" w:right="0" w:bottom="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BD9A" w14:textId="77777777" w:rsidR="00042B5F" w:rsidRDefault="00042B5F" w:rsidP="00B837E9">
      <w:r>
        <w:separator/>
      </w:r>
    </w:p>
  </w:endnote>
  <w:endnote w:type="continuationSeparator" w:id="0">
    <w:p w14:paraId="1086ED08" w14:textId="77777777" w:rsidR="00042B5F" w:rsidRDefault="00042B5F" w:rsidP="00B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5728" w14:textId="77777777" w:rsidR="00042B5F" w:rsidRDefault="00042B5F" w:rsidP="00B837E9">
      <w:r>
        <w:separator/>
      </w:r>
    </w:p>
  </w:footnote>
  <w:footnote w:type="continuationSeparator" w:id="0">
    <w:p w14:paraId="3965CDE3" w14:textId="77777777" w:rsidR="00042B5F" w:rsidRDefault="00042B5F" w:rsidP="00B8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81B"/>
    <w:multiLevelType w:val="hybridMultilevel"/>
    <w:tmpl w:val="F76CA2A8"/>
    <w:lvl w:ilvl="0" w:tplc="239EC15C">
      <w:numFmt w:val="bullet"/>
      <w:lvlText w:val="▪"/>
      <w:lvlJc w:val="left"/>
      <w:pPr>
        <w:ind w:left="720" w:hanging="360"/>
      </w:pPr>
      <w:rPr>
        <w:rFonts w:ascii="Calibri" w:eastAsia="Calibri" w:hAnsi="Calibri" w:cs="Calibri" w:hint="default"/>
        <w:b w:val="0"/>
        <w:bCs w:val="0"/>
        <w:i w:val="0"/>
        <w:iCs w:val="0"/>
        <w:color w:val="E10917"/>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534D8"/>
    <w:multiLevelType w:val="hybridMultilevel"/>
    <w:tmpl w:val="0D8E8118"/>
    <w:lvl w:ilvl="0" w:tplc="239EC15C">
      <w:numFmt w:val="bullet"/>
      <w:lvlText w:val="▪"/>
      <w:lvlJc w:val="left"/>
      <w:pPr>
        <w:ind w:left="720" w:hanging="360"/>
      </w:pPr>
      <w:rPr>
        <w:rFonts w:ascii="Calibri" w:eastAsia="Calibri" w:hAnsi="Calibri" w:cs="Calibri" w:hint="default"/>
        <w:b w:val="0"/>
        <w:bCs w:val="0"/>
        <w:i w:val="0"/>
        <w:iCs w:val="0"/>
        <w:color w:val="E10917"/>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9D7ECC"/>
    <w:multiLevelType w:val="hybridMultilevel"/>
    <w:tmpl w:val="4EE07F12"/>
    <w:lvl w:ilvl="0" w:tplc="65944B0A">
      <w:start w:val="1"/>
      <w:numFmt w:val="decimal"/>
      <w:lvlText w:val="%1.0"/>
      <w:lvlJc w:val="left"/>
      <w:pPr>
        <w:ind w:left="1002" w:hanging="720"/>
      </w:pPr>
      <w:rPr>
        <w:rFonts w:ascii="Arial" w:eastAsia="Arial" w:hAnsi="Arial" w:cs="Arial" w:hint="default"/>
        <w:b w:val="0"/>
        <w:bCs w:val="0"/>
        <w:i w:val="0"/>
        <w:iCs w:val="0"/>
        <w:color w:val="E10917"/>
        <w:spacing w:val="0"/>
        <w:w w:val="99"/>
        <w:sz w:val="24"/>
        <w:szCs w:val="24"/>
        <w:lang w:val="en-US" w:eastAsia="en-US" w:bidi="ar-SA"/>
      </w:rPr>
    </w:lvl>
    <w:lvl w:ilvl="1" w:tplc="239EC15C">
      <w:numFmt w:val="bullet"/>
      <w:lvlText w:val="▪"/>
      <w:lvlJc w:val="left"/>
      <w:pPr>
        <w:ind w:left="1321" w:hanging="360"/>
      </w:pPr>
      <w:rPr>
        <w:rFonts w:ascii="Calibri" w:eastAsia="Calibri" w:hAnsi="Calibri" w:cs="Calibri" w:hint="default"/>
        <w:b w:val="0"/>
        <w:bCs w:val="0"/>
        <w:i w:val="0"/>
        <w:iCs w:val="0"/>
        <w:color w:val="E10917"/>
        <w:spacing w:val="0"/>
        <w:w w:val="99"/>
        <w:sz w:val="20"/>
        <w:szCs w:val="20"/>
        <w:lang w:val="en-US" w:eastAsia="en-US" w:bidi="ar-SA"/>
      </w:rPr>
    </w:lvl>
    <w:lvl w:ilvl="2" w:tplc="9C4EFCE2">
      <w:numFmt w:val="bullet"/>
      <w:lvlText w:val="•"/>
      <w:lvlJc w:val="left"/>
      <w:pPr>
        <w:ind w:left="2351" w:hanging="360"/>
      </w:pPr>
      <w:rPr>
        <w:rFonts w:hint="default"/>
        <w:lang w:val="en-US" w:eastAsia="en-US" w:bidi="ar-SA"/>
      </w:rPr>
    </w:lvl>
    <w:lvl w:ilvl="3" w:tplc="FD52CF10">
      <w:numFmt w:val="bullet"/>
      <w:lvlText w:val="•"/>
      <w:lvlJc w:val="left"/>
      <w:pPr>
        <w:ind w:left="3383" w:hanging="360"/>
      </w:pPr>
      <w:rPr>
        <w:rFonts w:hint="default"/>
        <w:lang w:val="en-US" w:eastAsia="en-US" w:bidi="ar-SA"/>
      </w:rPr>
    </w:lvl>
    <w:lvl w:ilvl="4" w:tplc="32C8961C">
      <w:numFmt w:val="bullet"/>
      <w:lvlText w:val="•"/>
      <w:lvlJc w:val="left"/>
      <w:pPr>
        <w:ind w:left="4415" w:hanging="360"/>
      </w:pPr>
      <w:rPr>
        <w:rFonts w:hint="default"/>
        <w:lang w:val="en-US" w:eastAsia="en-US" w:bidi="ar-SA"/>
      </w:rPr>
    </w:lvl>
    <w:lvl w:ilvl="5" w:tplc="4CA60DFA">
      <w:numFmt w:val="bullet"/>
      <w:lvlText w:val="•"/>
      <w:lvlJc w:val="left"/>
      <w:pPr>
        <w:ind w:left="5447" w:hanging="360"/>
      </w:pPr>
      <w:rPr>
        <w:rFonts w:hint="default"/>
        <w:lang w:val="en-US" w:eastAsia="en-US" w:bidi="ar-SA"/>
      </w:rPr>
    </w:lvl>
    <w:lvl w:ilvl="6" w:tplc="818ECBD8">
      <w:numFmt w:val="bullet"/>
      <w:lvlText w:val="•"/>
      <w:lvlJc w:val="left"/>
      <w:pPr>
        <w:ind w:left="6479" w:hanging="360"/>
      </w:pPr>
      <w:rPr>
        <w:rFonts w:hint="default"/>
        <w:lang w:val="en-US" w:eastAsia="en-US" w:bidi="ar-SA"/>
      </w:rPr>
    </w:lvl>
    <w:lvl w:ilvl="7" w:tplc="B14E71D0">
      <w:numFmt w:val="bullet"/>
      <w:lvlText w:val="•"/>
      <w:lvlJc w:val="left"/>
      <w:pPr>
        <w:ind w:left="7510" w:hanging="360"/>
      </w:pPr>
      <w:rPr>
        <w:rFonts w:hint="default"/>
        <w:lang w:val="en-US" w:eastAsia="en-US" w:bidi="ar-SA"/>
      </w:rPr>
    </w:lvl>
    <w:lvl w:ilvl="8" w:tplc="928EC7A6">
      <w:numFmt w:val="bullet"/>
      <w:lvlText w:val="•"/>
      <w:lvlJc w:val="left"/>
      <w:pPr>
        <w:ind w:left="8542" w:hanging="360"/>
      </w:pPr>
      <w:rPr>
        <w:rFonts w:hint="default"/>
        <w:lang w:val="en-US" w:eastAsia="en-US" w:bidi="ar-SA"/>
      </w:rPr>
    </w:lvl>
  </w:abstractNum>
  <w:abstractNum w:abstractNumId="3" w15:restartNumberingAfterBreak="0">
    <w:nsid w:val="35DB5B0C"/>
    <w:multiLevelType w:val="hybridMultilevel"/>
    <w:tmpl w:val="41D4D4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8764148"/>
    <w:multiLevelType w:val="hybridMultilevel"/>
    <w:tmpl w:val="68A60428"/>
    <w:lvl w:ilvl="0" w:tplc="239EC15C">
      <w:numFmt w:val="bullet"/>
      <w:lvlText w:val="▪"/>
      <w:lvlJc w:val="left"/>
      <w:pPr>
        <w:ind w:left="360" w:hanging="360"/>
      </w:pPr>
      <w:rPr>
        <w:rFonts w:ascii="Calibri" w:eastAsia="Calibri" w:hAnsi="Calibri" w:cs="Calibri" w:hint="default"/>
        <w:b w:val="0"/>
        <w:bCs w:val="0"/>
        <w:i w:val="0"/>
        <w:iCs w:val="0"/>
        <w:color w:val="E10917"/>
        <w:spacing w:val="0"/>
        <w:w w:val="99"/>
        <w:sz w:val="20"/>
        <w:szCs w:val="2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C522E3"/>
    <w:multiLevelType w:val="hybridMultilevel"/>
    <w:tmpl w:val="37504A1C"/>
    <w:lvl w:ilvl="0" w:tplc="239EC15C">
      <w:numFmt w:val="bullet"/>
      <w:lvlText w:val="▪"/>
      <w:lvlJc w:val="left"/>
      <w:pPr>
        <w:ind w:left="-708" w:hanging="360"/>
      </w:pPr>
      <w:rPr>
        <w:rFonts w:ascii="Calibri" w:eastAsia="Calibri" w:hAnsi="Calibri" w:cs="Calibri" w:hint="default"/>
        <w:b w:val="0"/>
        <w:bCs w:val="0"/>
        <w:i w:val="0"/>
        <w:iCs w:val="0"/>
        <w:color w:val="E10917"/>
        <w:spacing w:val="0"/>
        <w:w w:val="99"/>
        <w:sz w:val="20"/>
        <w:szCs w:val="20"/>
        <w:lang w:val="en-US" w:eastAsia="en-US" w:bidi="ar-SA"/>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6" w15:restartNumberingAfterBreak="0">
    <w:nsid w:val="5A523F56"/>
    <w:multiLevelType w:val="multilevel"/>
    <w:tmpl w:val="198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5129215">
    <w:abstractNumId w:val="2"/>
  </w:num>
  <w:num w:numId="2" w16cid:durableId="1131173183">
    <w:abstractNumId w:val="6"/>
  </w:num>
  <w:num w:numId="3" w16cid:durableId="828403270">
    <w:abstractNumId w:val="3"/>
  </w:num>
  <w:num w:numId="4" w16cid:durableId="472064017">
    <w:abstractNumId w:val="5"/>
  </w:num>
  <w:num w:numId="5" w16cid:durableId="996689682">
    <w:abstractNumId w:val="4"/>
  </w:num>
  <w:num w:numId="6" w16cid:durableId="1031734311">
    <w:abstractNumId w:val="0"/>
  </w:num>
  <w:num w:numId="7" w16cid:durableId="202593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1C"/>
    <w:rsid w:val="000255DB"/>
    <w:rsid w:val="00035EE4"/>
    <w:rsid w:val="00042B5F"/>
    <w:rsid w:val="000647FB"/>
    <w:rsid w:val="0007358A"/>
    <w:rsid w:val="0009039C"/>
    <w:rsid w:val="000A3FE7"/>
    <w:rsid w:val="000D6422"/>
    <w:rsid w:val="000F7F19"/>
    <w:rsid w:val="00103B9C"/>
    <w:rsid w:val="00112C9C"/>
    <w:rsid w:val="001211EA"/>
    <w:rsid w:val="00125663"/>
    <w:rsid w:val="001961DB"/>
    <w:rsid w:val="001A2CFD"/>
    <w:rsid w:val="001E6E2A"/>
    <w:rsid w:val="001F5F0E"/>
    <w:rsid w:val="00210D26"/>
    <w:rsid w:val="0025521B"/>
    <w:rsid w:val="002656AB"/>
    <w:rsid w:val="0026709E"/>
    <w:rsid w:val="002B3D67"/>
    <w:rsid w:val="002D3E5A"/>
    <w:rsid w:val="00322952"/>
    <w:rsid w:val="00331F9F"/>
    <w:rsid w:val="00341797"/>
    <w:rsid w:val="00364D61"/>
    <w:rsid w:val="0039601C"/>
    <w:rsid w:val="003A609E"/>
    <w:rsid w:val="003D3628"/>
    <w:rsid w:val="003E743A"/>
    <w:rsid w:val="003F203B"/>
    <w:rsid w:val="003F2974"/>
    <w:rsid w:val="00402C8E"/>
    <w:rsid w:val="004341AA"/>
    <w:rsid w:val="00434351"/>
    <w:rsid w:val="00493F5C"/>
    <w:rsid w:val="004E3804"/>
    <w:rsid w:val="00514797"/>
    <w:rsid w:val="005158D3"/>
    <w:rsid w:val="00540545"/>
    <w:rsid w:val="00551DA2"/>
    <w:rsid w:val="005633A4"/>
    <w:rsid w:val="0057111D"/>
    <w:rsid w:val="005806AF"/>
    <w:rsid w:val="005A5B7C"/>
    <w:rsid w:val="005C33C1"/>
    <w:rsid w:val="005D1203"/>
    <w:rsid w:val="00611158"/>
    <w:rsid w:val="00616D81"/>
    <w:rsid w:val="006174FA"/>
    <w:rsid w:val="00621C7F"/>
    <w:rsid w:val="006244AA"/>
    <w:rsid w:val="00624F5F"/>
    <w:rsid w:val="0064406C"/>
    <w:rsid w:val="00652399"/>
    <w:rsid w:val="0067705E"/>
    <w:rsid w:val="00687333"/>
    <w:rsid w:val="006C0C0C"/>
    <w:rsid w:val="006C4CE0"/>
    <w:rsid w:val="006D6BC5"/>
    <w:rsid w:val="00723F88"/>
    <w:rsid w:val="00735317"/>
    <w:rsid w:val="00735826"/>
    <w:rsid w:val="00774AD2"/>
    <w:rsid w:val="007A2F1C"/>
    <w:rsid w:val="007A4982"/>
    <w:rsid w:val="007D7DE3"/>
    <w:rsid w:val="00823D95"/>
    <w:rsid w:val="00824B8A"/>
    <w:rsid w:val="00825ADD"/>
    <w:rsid w:val="0084093A"/>
    <w:rsid w:val="00844D05"/>
    <w:rsid w:val="008B61D3"/>
    <w:rsid w:val="008D34DA"/>
    <w:rsid w:val="008D7611"/>
    <w:rsid w:val="008E378D"/>
    <w:rsid w:val="008F0644"/>
    <w:rsid w:val="008F1DAB"/>
    <w:rsid w:val="00921C1D"/>
    <w:rsid w:val="00931C37"/>
    <w:rsid w:val="00935F3A"/>
    <w:rsid w:val="009544D0"/>
    <w:rsid w:val="009629D3"/>
    <w:rsid w:val="00990813"/>
    <w:rsid w:val="00996BF2"/>
    <w:rsid w:val="009B6701"/>
    <w:rsid w:val="009F077B"/>
    <w:rsid w:val="00A05C03"/>
    <w:rsid w:val="00A273D3"/>
    <w:rsid w:val="00A421FD"/>
    <w:rsid w:val="00A42EE9"/>
    <w:rsid w:val="00A45D12"/>
    <w:rsid w:val="00A94940"/>
    <w:rsid w:val="00AF03AC"/>
    <w:rsid w:val="00B1412D"/>
    <w:rsid w:val="00B203F7"/>
    <w:rsid w:val="00B4379F"/>
    <w:rsid w:val="00B52D35"/>
    <w:rsid w:val="00B6679D"/>
    <w:rsid w:val="00B837E9"/>
    <w:rsid w:val="00BA4200"/>
    <w:rsid w:val="00BC32F8"/>
    <w:rsid w:val="00C03A23"/>
    <w:rsid w:val="00C8648F"/>
    <w:rsid w:val="00C91B48"/>
    <w:rsid w:val="00CA3219"/>
    <w:rsid w:val="00CD6336"/>
    <w:rsid w:val="00CE1C7D"/>
    <w:rsid w:val="00CF6807"/>
    <w:rsid w:val="00D2493F"/>
    <w:rsid w:val="00D56825"/>
    <w:rsid w:val="00D57F00"/>
    <w:rsid w:val="00D6686A"/>
    <w:rsid w:val="00D72762"/>
    <w:rsid w:val="00DA51CD"/>
    <w:rsid w:val="00DD39EF"/>
    <w:rsid w:val="00E17246"/>
    <w:rsid w:val="00E203EF"/>
    <w:rsid w:val="00E22D6C"/>
    <w:rsid w:val="00E2577E"/>
    <w:rsid w:val="00E97F0F"/>
    <w:rsid w:val="00EA7AEC"/>
    <w:rsid w:val="00EB43B1"/>
    <w:rsid w:val="00EC797B"/>
    <w:rsid w:val="00ED53C3"/>
    <w:rsid w:val="00ED7547"/>
    <w:rsid w:val="00F12C6B"/>
    <w:rsid w:val="00F14391"/>
    <w:rsid w:val="00F30EAA"/>
    <w:rsid w:val="00F37454"/>
    <w:rsid w:val="00F60877"/>
    <w:rsid w:val="00F9108A"/>
    <w:rsid w:val="00FA2A34"/>
    <w:rsid w:val="00FC6D63"/>
    <w:rsid w:val="00FF0BDF"/>
    <w:rsid w:val="00FF2935"/>
    <w:rsid w:val="00FF39A7"/>
    <w:rsid w:val="069EFC2F"/>
    <w:rsid w:val="1A1F282A"/>
    <w:rsid w:val="2212F01F"/>
    <w:rsid w:val="2B68C524"/>
    <w:rsid w:val="2C7C11FD"/>
    <w:rsid w:val="2CE9A3AA"/>
    <w:rsid w:val="3ACA208F"/>
    <w:rsid w:val="3B8264FD"/>
    <w:rsid w:val="3C4D5B3A"/>
    <w:rsid w:val="3F9F0467"/>
    <w:rsid w:val="456DBFE3"/>
    <w:rsid w:val="49803C33"/>
    <w:rsid w:val="4BAE5020"/>
    <w:rsid w:val="4FC5743F"/>
    <w:rsid w:val="52B7C627"/>
    <w:rsid w:val="622EF06C"/>
    <w:rsid w:val="7375F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5BB6"/>
  <w15:docId w15:val="{3D981C3D-AD95-4906-98A5-8103C3E4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001" w:hanging="719"/>
      <w:outlineLvl w:val="0"/>
    </w:pPr>
    <w:rPr>
      <w:sz w:val="24"/>
      <w:szCs w:val="24"/>
    </w:rPr>
  </w:style>
  <w:style w:type="paragraph" w:styleId="Heading2">
    <w:name w:val="heading 2"/>
    <w:basedOn w:val="Normal"/>
    <w:next w:val="Normal"/>
    <w:link w:val="Heading2Char"/>
    <w:uiPriority w:val="9"/>
    <w:unhideWhenUsed/>
    <w:qFormat/>
    <w:rsid w:val="00921C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1"/>
    </w:pPr>
    <w:rPr>
      <w:sz w:val="20"/>
      <w:szCs w:val="20"/>
    </w:rPr>
  </w:style>
  <w:style w:type="paragraph" w:styleId="ListParagraph">
    <w:name w:val="List Paragraph"/>
    <w:basedOn w:val="Normal"/>
    <w:uiPriority w:val="1"/>
    <w:qFormat/>
    <w:pPr>
      <w:spacing w:before="123"/>
      <w:ind w:left="1321"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E17246"/>
    <w:pPr>
      <w:widowControl/>
      <w:autoSpaceDE/>
      <w:autoSpaceDN/>
    </w:pPr>
    <w:rPr>
      <w:rFonts w:ascii="Arial" w:eastAsia="Arial" w:hAnsi="Arial" w:cs="Arial"/>
    </w:rPr>
  </w:style>
  <w:style w:type="paragraph" w:styleId="Header">
    <w:name w:val="header"/>
    <w:basedOn w:val="Normal"/>
    <w:link w:val="HeaderChar"/>
    <w:uiPriority w:val="99"/>
    <w:unhideWhenUsed/>
    <w:rsid w:val="00B837E9"/>
    <w:pPr>
      <w:tabs>
        <w:tab w:val="center" w:pos="4513"/>
        <w:tab w:val="right" w:pos="9026"/>
      </w:tabs>
    </w:pPr>
  </w:style>
  <w:style w:type="character" w:customStyle="1" w:styleId="HeaderChar">
    <w:name w:val="Header Char"/>
    <w:basedOn w:val="DefaultParagraphFont"/>
    <w:link w:val="Header"/>
    <w:uiPriority w:val="99"/>
    <w:rsid w:val="00B837E9"/>
    <w:rPr>
      <w:rFonts w:ascii="Arial" w:eastAsia="Arial" w:hAnsi="Arial" w:cs="Arial"/>
    </w:rPr>
  </w:style>
  <w:style w:type="paragraph" w:styleId="Footer">
    <w:name w:val="footer"/>
    <w:basedOn w:val="Normal"/>
    <w:link w:val="FooterChar"/>
    <w:uiPriority w:val="99"/>
    <w:unhideWhenUsed/>
    <w:rsid w:val="00B837E9"/>
    <w:pPr>
      <w:tabs>
        <w:tab w:val="center" w:pos="4513"/>
        <w:tab w:val="right" w:pos="9026"/>
      </w:tabs>
    </w:pPr>
  </w:style>
  <w:style w:type="character" w:customStyle="1" w:styleId="FooterChar">
    <w:name w:val="Footer Char"/>
    <w:basedOn w:val="DefaultParagraphFont"/>
    <w:link w:val="Footer"/>
    <w:uiPriority w:val="99"/>
    <w:rsid w:val="00B837E9"/>
    <w:rPr>
      <w:rFonts w:ascii="Arial" w:eastAsia="Arial" w:hAnsi="Arial" w:cs="Arial"/>
    </w:rPr>
  </w:style>
  <w:style w:type="character" w:customStyle="1" w:styleId="Heading2Char">
    <w:name w:val="Heading 2 Char"/>
    <w:basedOn w:val="DefaultParagraphFont"/>
    <w:link w:val="Heading2"/>
    <w:uiPriority w:val="9"/>
    <w:rsid w:val="005711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4405">
      <w:bodyDiv w:val="1"/>
      <w:marLeft w:val="0"/>
      <w:marRight w:val="0"/>
      <w:marTop w:val="0"/>
      <w:marBottom w:val="0"/>
      <w:divBdr>
        <w:top w:val="none" w:sz="0" w:space="0" w:color="auto"/>
        <w:left w:val="none" w:sz="0" w:space="0" w:color="auto"/>
        <w:bottom w:val="none" w:sz="0" w:space="0" w:color="auto"/>
        <w:right w:val="none" w:sz="0" w:space="0" w:color="auto"/>
      </w:divBdr>
    </w:div>
    <w:div w:id="848373874">
      <w:bodyDiv w:val="1"/>
      <w:marLeft w:val="0"/>
      <w:marRight w:val="0"/>
      <w:marTop w:val="0"/>
      <w:marBottom w:val="0"/>
      <w:divBdr>
        <w:top w:val="none" w:sz="0" w:space="0" w:color="auto"/>
        <w:left w:val="none" w:sz="0" w:space="0" w:color="auto"/>
        <w:bottom w:val="none" w:sz="0" w:space="0" w:color="auto"/>
        <w:right w:val="none" w:sz="0" w:space="0" w:color="auto"/>
      </w:divBdr>
    </w:div>
    <w:div w:id="1170220513">
      <w:bodyDiv w:val="1"/>
      <w:marLeft w:val="0"/>
      <w:marRight w:val="0"/>
      <w:marTop w:val="0"/>
      <w:marBottom w:val="0"/>
      <w:divBdr>
        <w:top w:val="none" w:sz="0" w:space="0" w:color="auto"/>
        <w:left w:val="none" w:sz="0" w:space="0" w:color="auto"/>
        <w:bottom w:val="none" w:sz="0" w:space="0" w:color="auto"/>
        <w:right w:val="none" w:sz="0" w:space="0" w:color="auto"/>
      </w:divBdr>
    </w:div>
    <w:div w:id="1631130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secure.griffith.edu.au/employment/learning-and-development/specialist-programs/capability-development-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C0AE000EB1144AABA1469754CFA25" ma:contentTypeVersion="13" ma:contentTypeDescription="Create a new document." ma:contentTypeScope="" ma:versionID="557fdd811ff55eb9714af9f1327cab4d">
  <xsd:schema xmlns:xsd="http://www.w3.org/2001/XMLSchema" xmlns:xs="http://www.w3.org/2001/XMLSchema" xmlns:p="http://schemas.microsoft.com/office/2006/metadata/properties" xmlns:ns1="http://schemas.microsoft.com/sharepoint/v3" xmlns:ns2="50ea8102-e5dd-47fa-a96c-a8a96e7308bf" xmlns:ns3="cebf224e-ee01-4741-9a09-ef19f9980a2f" targetNamespace="http://schemas.microsoft.com/office/2006/metadata/properties" ma:root="true" ma:fieldsID="b23c57fe63c108b1fb3655f6535e49df" ns1:_="" ns2:_="" ns3:_="">
    <xsd:import namespace="http://schemas.microsoft.com/sharepoint/v3"/>
    <xsd:import namespace="50ea8102-e5dd-47fa-a96c-a8a96e7308bf"/>
    <xsd:import namespace="cebf224e-ee01-4741-9a09-ef19f9980a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a8102-e5dd-47fa-a96c-a8a96e730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f224e-ee01-4741-9a09-ef19f9980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7c3b7-94a9-4c2d-8453-ba8f0b74bde1}" ma:internalName="TaxCatchAll" ma:showField="CatchAllData" ma:web="cebf224e-ee01-4741-9a09-ef19f9980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bf224e-ee01-4741-9a09-ef19f9980a2f" xsi:nil="true"/>
    <_ip_UnifiedCompliancePolicyUIAction xmlns="http://schemas.microsoft.com/sharepoint/v3" xsi:nil="true"/>
    <lcf76f155ced4ddcb4097134ff3c332f xmlns="50ea8102-e5dd-47fa-a96c-a8a96e7308b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F0E9-E617-4FB2-802D-8EDB4388F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a8102-e5dd-47fa-a96c-a8a96e7308bf"/>
    <ds:schemaRef ds:uri="cebf224e-ee01-4741-9a09-ef19f9980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340E4-9C1E-41A6-A9D9-04FB53991B0D}">
  <ds:schemaRefs>
    <ds:schemaRef ds:uri="http://schemas.microsoft.com/office/2006/metadata/properties"/>
    <ds:schemaRef ds:uri="http://schemas.microsoft.com/office/infopath/2007/PartnerControls"/>
    <ds:schemaRef ds:uri="cebf224e-ee01-4741-9a09-ef19f9980a2f"/>
    <ds:schemaRef ds:uri="http://schemas.microsoft.com/sharepoint/v3"/>
    <ds:schemaRef ds:uri="50ea8102-e5dd-47fa-a96c-a8a96e7308bf"/>
  </ds:schemaRefs>
</ds:datastoreItem>
</file>

<file path=customXml/itemProps3.xml><?xml version="1.0" encoding="utf-8"?>
<ds:datastoreItem xmlns:ds="http://schemas.openxmlformats.org/officeDocument/2006/customXml" ds:itemID="{30EFEDF7-CE15-4B76-B894-CB0A11A93FD6}">
  <ds:schemaRefs>
    <ds:schemaRef ds:uri="http://schemas.microsoft.com/sharepoint/v3/contenttype/forms"/>
  </ds:schemaRefs>
</ds:datastoreItem>
</file>

<file path=customXml/itemProps4.xml><?xml version="1.0" encoding="utf-8"?>
<ds:datastoreItem xmlns:ds="http://schemas.openxmlformats.org/officeDocument/2006/customXml" ds:itemID="{E40DD62B-8889-40C6-8D7A-30DCAF63E2EC}">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cp:lastModifiedBy>Laura Whitworth-Matthews</cp:lastModifiedBy>
  <cp:revision>2</cp:revision>
  <dcterms:created xsi:type="dcterms:W3CDTF">2026-07-01T22:06:00Z</dcterms:created>
  <dcterms:modified xsi:type="dcterms:W3CDTF">2026-07-01T22:06:00Z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MSIP_Label_adaa4be3-f650-4692-881a-64ae220cbceb_Enabled">
    <vt:lpwstr>true</vt:lpwstr>
  </property>
  <property fmtid="{D5CDD505-2E9C-101B-9397-08002B2CF9AE}" pid="6" name="MSIP_Label_adaa4be3-f650-4692-881a-64ae220cbceb_Method">
    <vt:lpwstr>Standard</vt:lpwstr>
  </property>
  <property fmtid="{D5CDD505-2E9C-101B-9397-08002B2CF9AE}" pid="7" name="MSIP_Label_adaa4be3-f650-4692-881a-64ae220cbceb_SiteId">
    <vt:lpwstr>5a7cc8ab-a4dc-4f9b-bf60-66714049ad62</vt:lpwstr>
  </property>
  <property fmtid="{D5CDD505-2E9C-101B-9397-08002B2CF9AE}" pid="8" name="Producer">
    <vt:lpwstr>Microsoft® Word for Microsoft 365</vt:lpwstr>
  </property>
  <property fmtid="{D5CDD505-2E9C-101B-9397-08002B2CF9AE}" pid="9" name="ContentTypeId">
    <vt:lpwstr>0x010100B63C0AE000EB1144AABA1469754CFA25</vt:lpwstr>
  </property>
  <property fmtid="{D5CDD505-2E9C-101B-9397-08002B2CF9AE}" pid="10" name="MediaServiceImageTags">
    <vt:lpwstr/>
  </property>
</Properties>
</file>