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242AC6" w14:textId="0193C205" w:rsidR="00E449D4" w:rsidRDefault="00E449D4" w:rsidP="00E449D4">
      <w:pPr>
        <w:rPr>
          <w:rFonts w:ascii="Arial" w:hAnsi="Arial" w:cs="Arial"/>
          <w:b/>
          <w:sz w:val="36"/>
          <w:szCs w:val="36"/>
        </w:rPr>
      </w:pPr>
    </w:p>
    <w:p w14:paraId="1C86DE4F" w14:textId="7D0B41C8" w:rsidR="00E449D4" w:rsidRDefault="00E449D4" w:rsidP="00E449D4">
      <w:pPr>
        <w:rPr>
          <w:rFonts w:ascii="Arial" w:hAnsi="Arial" w:cs="Arial"/>
          <w:b/>
          <w:sz w:val="36"/>
          <w:szCs w:val="36"/>
        </w:rPr>
      </w:pPr>
    </w:p>
    <w:p w14:paraId="33E78D21" w14:textId="551E09C6" w:rsidR="00E449D4" w:rsidRDefault="00E449D4"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00AC182E">
        <w:trPr>
          <w:trHeight w:val="460"/>
          <w:jc w:val="center"/>
        </w:trPr>
        <w:tc>
          <w:tcPr>
            <w:tcW w:w="2875" w:type="dxa"/>
            <w:shd w:val="clear" w:color="auto" w:fill="D9D9D9" w:themeFill="background1" w:themeFillShade="D9"/>
          </w:tcPr>
          <w:p w14:paraId="4D89E451"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3E08D0F7" w14:textId="1C07EC6E" w:rsidR="00E449D4" w:rsidRPr="00C138CC" w:rsidRDefault="00F6767D" w:rsidP="00AC182E">
            <w:pPr>
              <w:jc w:val="both"/>
              <w:rPr>
                <w:rFonts w:ascii="Arial" w:hAnsi="Arial" w:cs="Arial"/>
                <w:sz w:val="20"/>
                <w:szCs w:val="20"/>
              </w:rPr>
            </w:pPr>
            <w:r>
              <w:rPr>
                <w:rFonts w:ascii="Arial" w:hAnsi="Arial" w:cs="Arial"/>
                <w:sz w:val="20"/>
                <w:szCs w:val="20"/>
              </w:rPr>
              <w:t>General Counsel</w:t>
            </w:r>
          </w:p>
        </w:tc>
      </w:tr>
      <w:tr w:rsidR="00E449D4" w:rsidRPr="00C138CC" w14:paraId="61B9059B" w14:textId="77777777" w:rsidTr="00AC182E">
        <w:trPr>
          <w:trHeight w:val="460"/>
          <w:jc w:val="center"/>
        </w:trPr>
        <w:tc>
          <w:tcPr>
            <w:tcW w:w="2875" w:type="dxa"/>
            <w:shd w:val="clear" w:color="auto" w:fill="D9D9D9" w:themeFill="background1" w:themeFillShade="D9"/>
          </w:tcPr>
          <w:p w14:paraId="49E267B4"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0DB13132" w14:textId="2FCFB759" w:rsidR="00E449D4" w:rsidRPr="00C138CC" w:rsidRDefault="00F6767D" w:rsidP="00AC182E">
            <w:pPr>
              <w:jc w:val="both"/>
              <w:rPr>
                <w:rFonts w:ascii="Arial" w:hAnsi="Arial" w:cs="Arial"/>
                <w:sz w:val="20"/>
                <w:szCs w:val="20"/>
              </w:rPr>
            </w:pPr>
            <w:r>
              <w:rPr>
                <w:rFonts w:ascii="Arial" w:hAnsi="Arial" w:cs="Arial"/>
                <w:sz w:val="20"/>
                <w:szCs w:val="20"/>
              </w:rPr>
              <w:t>Corporate Services</w:t>
            </w:r>
          </w:p>
        </w:tc>
      </w:tr>
      <w:tr w:rsidR="00E449D4" w:rsidRPr="00C138CC" w14:paraId="099F77AA" w14:textId="77777777" w:rsidTr="00AC182E">
        <w:trPr>
          <w:trHeight w:val="460"/>
          <w:jc w:val="center"/>
        </w:trPr>
        <w:tc>
          <w:tcPr>
            <w:tcW w:w="2875" w:type="dxa"/>
            <w:shd w:val="clear" w:color="auto" w:fill="D9D9D9" w:themeFill="background1" w:themeFillShade="D9"/>
          </w:tcPr>
          <w:p w14:paraId="1218FF3A"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64040778" w14:textId="0A717512" w:rsidR="00E449D4" w:rsidRPr="00C138CC" w:rsidRDefault="00F6767D" w:rsidP="00AC182E">
            <w:pPr>
              <w:jc w:val="both"/>
              <w:rPr>
                <w:rFonts w:ascii="Arial" w:hAnsi="Arial" w:cs="Arial"/>
                <w:sz w:val="20"/>
                <w:szCs w:val="20"/>
              </w:rPr>
            </w:pPr>
            <w:r>
              <w:rPr>
                <w:rFonts w:ascii="Arial" w:hAnsi="Arial" w:cs="Arial"/>
                <w:sz w:val="20"/>
                <w:szCs w:val="20"/>
              </w:rPr>
              <w:t>Senior Manager</w:t>
            </w:r>
          </w:p>
        </w:tc>
      </w:tr>
      <w:tr w:rsidR="00E449D4" w:rsidRPr="00C138CC" w14:paraId="3786F4A0" w14:textId="77777777" w:rsidTr="00AC182E">
        <w:trPr>
          <w:trHeight w:val="460"/>
          <w:jc w:val="center"/>
        </w:trPr>
        <w:tc>
          <w:tcPr>
            <w:tcW w:w="2875" w:type="dxa"/>
            <w:shd w:val="clear" w:color="auto" w:fill="D9D9D9" w:themeFill="background1" w:themeFillShade="D9"/>
          </w:tcPr>
          <w:p w14:paraId="45BE6BE8"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353E7122" w14:textId="4E745D59" w:rsidR="00E449D4" w:rsidRPr="00C138CC" w:rsidRDefault="00E449D4" w:rsidP="00AC182E">
            <w:pPr>
              <w:jc w:val="both"/>
              <w:rPr>
                <w:rFonts w:ascii="Arial" w:hAnsi="Arial" w:cs="Arial"/>
                <w:sz w:val="20"/>
                <w:szCs w:val="20"/>
              </w:rPr>
            </w:pPr>
            <w:r w:rsidRPr="00C138CC">
              <w:rPr>
                <w:rFonts w:ascii="Arial" w:hAnsi="Arial" w:cs="Arial"/>
                <w:sz w:val="20"/>
                <w:szCs w:val="20"/>
              </w:rPr>
              <w:t>000</w:t>
            </w:r>
            <w:r w:rsidR="00F6767D">
              <w:rPr>
                <w:rFonts w:ascii="Arial" w:hAnsi="Arial" w:cs="Arial"/>
                <w:sz w:val="20"/>
                <w:szCs w:val="20"/>
              </w:rPr>
              <w:t>60508</w:t>
            </w:r>
          </w:p>
        </w:tc>
      </w:tr>
      <w:tr w:rsidR="00E449D4" w:rsidRPr="00C138CC" w14:paraId="338952F8" w14:textId="77777777" w:rsidTr="00AC182E">
        <w:trPr>
          <w:trHeight w:val="460"/>
          <w:jc w:val="center"/>
        </w:trPr>
        <w:tc>
          <w:tcPr>
            <w:tcW w:w="2875" w:type="dxa"/>
            <w:shd w:val="clear" w:color="auto" w:fill="D9D9D9" w:themeFill="background1" w:themeFillShade="D9"/>
          </w:tcPr>
          <w:p w14:paraId="4F637EB5"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3700C4C4" w14:textId="5712FBA3" w:rsidR="00E449D4" w:rsidRPr="00C138CC" w:rsidRDefault="00F6767D" w:rsidP="00AC182E">
            <w:pPr>
              <w:jc w:val="both"/>
              <w:rPr>
                <w:rFonts w:ascii="Arial" w:hAnsi="Arial" w:cs="Arial"/>
                <w:sz w:val="20"/>
                <w:szCs w:val="20"/>
              </w:rPr>
            </w:pPr>
            <w:r>
              <w:rPr>
                <w:rFonts w:ascii="Arial" w:hAnsi="Arial" w:cs="Arial"/>
                <w:sz w:val="20"/>
                <w:szCs w:val="20"/>
              </w:rPr>
              <w:t xml:space="preserve">Chief Operating Officer </w:t>
            </w:r>
          </w:p>
        </w:tc>
      </w:tr>
      <w:tr w:rsidR="00E449D4" w:rsidRPr="00C138CC" w14:paraId="1D60EE41" w14:textId="77777777" w:rsidTr="00AC182E">
        <w:trPr>
          <w:trHeight w:val="460"/>
          <w:jc w:val="center"/>
        </w:trPr>
        <w:tc>
          <w:tcPr>
            <w:tcW w:w="2875" w:type="dxa"/>
            <w:shd w:val="clear" w:color="auto" w:fill="D9D9D9" w:themeFill="background1" w:themeFillShade="D9"/>
          </w:tcPr>
          <w:p w14:paraId="3640BDAD"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tcPr>
          <w:p w14:paraId="6CB9578F" w14:textId="2E1D9D02" w:rsidR="00E449D4" w:rsidRPr="00C138CC" w:rsidRDefault="00F70A73" w:rsidP="00AC182E">
            <w:pPr>
              <w:rPr>
                <w:rFonts w:ascii="Arial" w:hAnsi="Arial" w:cs="Arial"/>
                <w:color w:val="FF0000"/>
                <w:sz w:val="20"/>
                <w:szCs w:val="20"/>
              </w:rPr>
            </w:pPr>
            <w:r w:rsidRPr="00F631CD">
              <w:rPr>
                <w:rFonts w:ascii="Arial" w:hAnsi="Arial" w:cs="Arial"/>
                <w:color w:val="000000" w:themeColor="text1"/>
                <w:sz w:val="20"/>
                <w:szCs w:val="20"/>
              </w:rPr>
              <w:t>Fixed Term</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7D2108BE" w14:textId="7A839FFB" w:rsidR="00E449D4" w:rsidRPr="00C138CC" w:rsidRDefault="00E449D4" w:rsidP="00F631CD">
      <w:pPr>
        <w:pStyle w:val="Heading2"/>
        <w:numPr>
          <w:ilvl w:val="0"/>
          <w:numId w:val="3"/>
        </w:numPr>
        <w:tabs>
          <w:tab w:val="left" w:pos="862"/>
        </w:tabs>
        <w:rPr>
          <w:rFonts w:ascii="Arial" w:hAnsi="Arial" w:cs="Arial"/>
          <w:color w:val="E20917"/>
        </w:rPr>
      </w:pPr>
      <w:r w:rsidRPr="00C138CC">
        <w:rPr>
          <w:rFonts w:ascii="Arial" w:hAnsi="Arial" w:cs="Arial"/>
          <w:color w:val="E20917"/>
        </w:rPr>
        <w:t>Position Purpose</w:t>
      </w:r>
    </w:p>
    <w:p w14:paraId="1C8E4F4D" w14:textId="6D875A35" w:rsidR="00F631CD" w:rsidRPr="00F631CD" w:rsidRDefault="00F631CD" w:rsidP="00F631CD">
      <w:pPr>
        <w:pStyle w:val="Heading2"/>
        <w:tabs>
          <w:tab w:val="left" w:pos="862"/>
        </w:tabs>
        <w:ind w:left="851" w:right="850" w:firstLine="0"/>
        <w:rPr>
          <w:rFonts w:ascii="Arial" w:hAnsi="Arial" w:cs="Arial"/>
          <w:sz w:val="20"/>
        </w:rPr>
      </w:pPr>
      <w:r w:rsidRPr="00F631CD">
        <w:rPr>
          <w:rFonts w:ascii="Arial" w:hAnsi="Arial" w:cs="Arial"/>
          <w:sz w:val="20"/>
        </w:rPr>
        <w:t xml:space="preserve">The General Counsel is the </w:t>
      </w:r>
      <w:r w:rsidR="00A8494A">
        <w:rPr>
          <w:rFonts w:ascii="Arial" w:hAnsi="Arial" w:cs="Arial"/>
          <w:sz w:val="20"/>
        </w:rPr>
        <w:t xml:space="preserve">most </w:t>
      </w:r>
      <w:r w:rsidRPr="00F631CD">
        <w:rPr>
          <w:rFonts w:ascii="Arial" w:hAnsi="Arial" w:cs="Arial"/>
          <w:sz w:val="20"/>
        </w:rPr>
        <w:t xml:space="preserve">senior legal </w:t>
      </w:r>
      <w:r w:rsidR="00A8494A">
        <w:rPr>
          <w:rFonts w:ascii="Arial" w:hAnsi="Arial" w:cs="Arial"/>
          <w:sz w:val="20"/>
        </w:rPr>
        <w:t>advisor</w:t>
      </w:r>
      <w:r w:rsidR="00A8494A" w:rsidRPr="00F631CD">
        <w:rPr>
          <w:rFonts w:ascii="Arial" w:hAnsi="Arial" w:cs="Arial"/>
          <w:sz w:val="20"/>
        </w:rPr>
        <w:t xml:space="preserve"> </w:t>
      </w:r>
      <w:r w:rsidRPr="00F631CD">
        <w:rPr>
          <w:rFonts w:ascii="Arial" w:hAnsi="Arial" w:cs="Arial"/>
          <w:sz w:val="20"/>
        </w:rPr>
        <w:t>for the University managing the full spectrum of legal,</w:t>
      </w:r>
      <w:r w:rsidR="00A8494A">
        <w:rPr>
          <w:rFonts w:ascii="Arial" w:hAnsi="Arial" w:cs="Arial"/>
          <w:sz w:val="20"/>
        </w:rPr>
        <w:t xml:space="preserve"> compliance, workplace relations, integrity and corporate governance services as well as delivering risk, resilience and internal audit services </w:t>
      </w:r>
      <w:r w:rsidRPr="00F631CD">
        <w:rPr>
          <w:rFonts w:ascii="Arial" w:hAnsi="Arial" w:cs="Arial"/>
          <w:sz w:val="20"/>
        </w:rPr>
        <w:t>to support and enable the University to achieve its strategy and purpose.</w:t>
      </w:r>
      <w:r w:rsidR="00A8494A">
        <w:rPr>
          <w:rFonts w:ascii="Arial" w:hAnsi="Arial" w:cs="Arial"/>
          <w:sz w:val="20"/>
        </w:rPr>
        <w:t xml:space="preserve">  The General Counsel also oversights the Student Ombudsman function.</w:t>
      </w:r>
    </w:p>
    <w:p w14:paraId="7C959494" w14:textId="1B83275E" w:rsidR="00F631CD" w:rsidRPr="00F631CD" w:rsidRDefault="00F631CD" w:rsidP="00F631CD">
      <w:pPr>
        <w:pStyle w:val="Heading2"/>
        <w:tabs>
          <w:tab w:val="left" w:pos="862"/>
        </w:tabs>
        <w:ind w:left="851" w:right="850" w:firstLine="0"/>
        <w:rPr>
          <w:rFonts w:ascii="Arial" w:hAnsi="Arial" w:cs="Arial"/>
          <w:sz w:val="20"/>
        </w:rPr>
      </w:pPr>
      <w:r w:rsidRPr="00F631CD">
        <w:rPr>
          <w:rFonts w:ascii="Arial" w:hAnsi="Arial" w:cs="Arial"/>
          <w:sz w:val="20"/>
        </w:rPr>
        <w:t>In addition to the provision of strategic legal</w:t>
      </w:r>
      <w:r w:rsidR="00A8494A">
        <w:rPr>
          <w:rFonts w:ascii="Arial" w:hAnsi="Arial" w:cs="Arial"/>
          <w:sz w:val="20"/>
        </w:rPr>
        <w:t xml:space="preserve"> and risk</w:t>
      </w:r>
      <w:r w:rsidRPr="00F631CD">
        <w:rPr>
          <w:rFonts w:ascii="Arial" w:hAnsi="Arial" w:cs="Arial"/>
          <w:sz w:val="20"/>
        </w:rPr>
        <w:t xml:space="preserve"> advice to the senior executive, the General Counsel works with the senior leadership to ensure all operations of the organisation are conducted within the</w:t>
      </w:r>
      <w:r w:rsidR="00A8494A">
        <w:rPr>
          <w:rFonts w:ascii="Arial" w:hAnsi="Arial" w:cs="Arial"/>
          <w:sz w:val="20"/>
        </w:rPr>
        <w:t xml:space="preserve"> risk appetite set by the University’s Council including</w:t>
      </w:r>
      <w:r w:rsidRPr="00F631CD">
        <w:rPr>
          <w:rFonts w:ascii="Arial" w:hAnsi="Arial" w:cs="Arial"/>
          <w:sz w:val="20"/>
        </w:rPr>
        <w:t xml:space="preserve"> limits prescribed by law and that the organisation’s rights are protected through the provision of sound legal counsel and guidance. A collaborative approach is required to </w:t>
      </w:r>
      <w:r w:rsidR="00A8494A">
        <w:rPr>
          <w:rFonts w:ascii="Arial" w:hAnsi="Arial" w:cs="Arial"/>
          <w:sz w:val="20"/>
        </w:rPr>
        <w:t xml:space="preserve">influence and enable a complex and diverse organisation. </w:t>
      </w:r>
    </w:p>
    <w:p w14:paraId="5B9BC5FE" w14:textId="747A6FCB" w:rsidR="00F631CD" w:rsidRPr="00F631CD" w:rsidRDefault="00F631CD" w:rsidP="00F631CD">
      <w:pPr>
        <w:pStyle w:val="Heading2"/>
        <w:tabs>
          <w:tab w:val="left" w:pos="862"/>
        </w:tabs>
        <w:ind w:left="851" w:right="850" w:firstLine="0"/>
        <w:rPr>
          <w:rFonts w:ascii="Arial" w:hAnsi="Arial" w:cs="Arial"/>
          <w:sz w:val="20"/>
        </w:rPr>
      </w:pPr>
      <w:r w:rsidRPr="00F631CD">
        <w:rPr>
          <w:rFonts w:ascii="Arial" w:hAnsi="Arial" w:cs="Arial"/>
          <w:sz w:val="20"/>
        </w:rPr>
        <w:t>As a trusted advisor, working closely with the Vice Chancellor, Chief Operating Officer and various governance bodies, the General Counsel</w:t>
      </w:r>
      <w:r w:rsidR="00ED1318">
        <w:rPr>
          <w:rFonts w:ascii="Arial" w:hAnsi="Arial" w:cs="Arial"/>
          <w:sz w:val="20"/>
        </w:rPr>
        <w:t xml:space="preserve"> (through the broader team)</w:t>
      </w:r>
      <w:r w:rsidRPr="00F631CD">
        <w:rPr>
          <w:rFonts w:ascii="Arial" w:hAnsi="Arial" w:cs="Arial"/>
          <w:sz w:val="20"/>
        </w:rPr>
        <w:t xml:space="preserve"> provide</w:t>
      </w:r>
      <w:r w:rsidR="00ED1318">
        <w:rPr>
          <w:rFonts w:ascii="Arial" w:hAnsi="Arial" w:cs="Arial"/>
          <w:sz w:val="20"/>
        </w:rPr>
        <w:t>s second and third line</w:t>
      </w:r>
      <w:r w:rsidRPr="00F631CD">
        <w:rPr>
          <w:rFonts w:ascii="Arial" w:hAnsi="Arial" w:cs="Arial"/>
          <w:sz w:val="20"/>
        </w:rPr>
        <w:t xml:space="preserve"> assurance over the University’s control environment</w:t>
      </w:r>
      <w:r w:rsidR="00ED1318">
        <w:rPr>
          <w:rFonts w:ascii="Arial" w:hAnsi="Arial" w:cs="Arial"/>
          <w:sz w:val="20"/>
        </w:rPr>
        <w:t xml:space="preserve"> as well as appropriate corporate governance frameworks, standards and protocols</w:t>
      </w:r>
      <w:r w:rsidRPr="00F631CD">
        <w:rPr>
          <w:rFonts w:ascii="Arial" w:hAnsi="Arial" w:cs="Arial"/>
          <w:sz w:val="20"/>
        </w:rPr>
        <w:t>.</w:t>
      </w:r>
    </w:p>
    <w:p w14:paraId="5F85C5FC" w14:textId="14DC02CE" w:rsidR="00F631CD" w:rsidRPr="00F631CD" w:rsidRDefault="00F631CD" w:rsidP="00F631CD">
      <w:pPr>
        <w:pStyle w:val="Heading2"/>
        <w:tabs>
          <w:tab w:val="left" w:pos="862"/>
        </w:tabs>
        <w:ind w:left="851" w:right="850" w:firstLine="0"/>
        <w:rPr>
          <w:rFonts w:ascii="Arial" w:hAnsi="Arial" w:cs="Arial"/>
          <w:sz w:val="20"/>
        </w:rPr>
      </w:pPr>
      <w:r w:rsidRPr="00F631CD">
        <w:rPr>
          <w:rFonts w:ascii="Arial" w:hAnsi="Arial" w:cs="Arial"/>
          <w:sz w:val="20"/>
        </w:rPr>
        <w:t xml:space="preserve">The position develops the strategy </w:t>
      </w:r>
      <w:r w:rsidR="00540999">
        <w:rPr>
          <w:rFonts w:ascii="Arial" w:hAnsi="Arial" w:cs="Arial"/>
          <w:sz w:val="20"/>
        </w:rPr>
        <w:t xml:space="preserve">of </w:t>
      </w:r>
      <w:r w:rsidRPr="00F631CD">
        <w:rPr>
          <w:rFonts w:ascii="Arial" w:hAnsi="Arial" w:cs="Arial"/>
          <w:sz w:val="20"/>
        </w:rPr>
        <w:t xml:space="preserve">and leads </w:t>
      </w:r>
      <w:r w:rsidR="00ED1318">
        <w:rPr>
          <w:rFonts w:ascii="Arial" w:hAnsi="Arial" w:cs="Arial"/>
          <w:sz w:val="20"/>
        </w:rPr>
        <w:t>implementation of key projects across the General Counsel portfolio as well as being a member of the Corporate Services Executive Team to deliver outstanding services to the University</w:t>
      </w:r>
      <w:r w:rsidR="009919BE">
        <w:rPr>
          <w:rFonts w:ascii="Arial" w:hAnsi="Arial" w:cs="Arial"/>
          <w:sz w:val="20"/>
        </w:rPr>
        <w:t xml:space="preserve"> and enable the University’s vision</w:t>
      </w:r>
      <w:r w:rsidRPr="00F631CD">
        <w:rPr>
          <w:rFonts w:ascii="Arial" w:hAnsi="Arial" w:cs="Arial"/>
          <w:sz w:val="20"/>
        </w:rPr>
        <w:t xml:space="preserve">. </w:t>
      </w:r>
    </w:p>
    <w:p w14:paraId="3C0D7325"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2.0</w:t>
      </w:r>
      <w:r w:rsidRPr="00C138CC">
        <w:rPr>
          <w:rFonts w:ascii="Arial" w:hAnsi="Arial" w:cs="Arial"/>
          <w:color w:val="E20917"/>
        </w:rPr>
        <w:tab/>
        <w:t>Eligibility Requirements</w:t>
      </w:r>
    </w:p>
    <w:p w14:paraId="6B071EA4" w14:textId="77777777" w:rsidR="00E449D4" w:rsidRPr="00C138CC" w:rsidRDefault="00E449D4" w:rsidP="00E449D4">
      <w:pPr>
        <w:pStyle w:val="Default"/>
        <w:jc w:val="both"/>
        <w:rPr>
          <w:b/>
          <w:i/>
          <w:color w:val="auto"/>
          <w:sz w:val="20"/>
          <w:szCs w:val="20"/>
        </w:rPr>
      </w:pPr>
    </w:p>
    <w:p w14:paraId="1A6281F7" w14:textId="5020B21A" w:rsidR="00F631CD" w:rsidRDefault="00F631CD" w:rsidP="00E449D4">
      <w:pPr>
        <w:pStyle w:val="ListParagraph"/>
        <w:numPr>
          <w:ilvl w:val="2"/>
          <w:numId w:val="1"/>
        </w:numPr>
        <w:tabs>
          <w:tab w:val="left" w:pos="1180"/>
          <w:tab w:val="left" w:pos="1181"/>
        </w:tabs>
        <w:spacing w:line="276" w:lineRule="auto"/>
        <w:ind w:right="1018"/>
        <w:rPr>
          <w:rFonts w:ascii="Arial" w:hAnsi="Arial" w:cs="Arial"/>
          <w:sz w:val="20"/>
        </w:rPr>
      </w:pPr>
      <w:r w:rsidRPr="00F631CD">
        <w:rPr>
          <w:rFonts w:ascii="Arial" w:hAnsi="Arial" w:cs="Arial"/>
          <w:sz w:val="20"/>
        </w:rPr>
        <w:t xml:space="preserve">A </w:t>
      </w:r>
      <w:proofErr w:type="gramStart"/>
      <w:r w:rsidRPr="00F631CD">
        <w:rPr>
          <w:rFonts w:ascii="Arial" w:hAnsi="Arial" w:cs="Arial"/>
          <w:sz w:val="20"/>
        </w:rPr>
        <w:t>Bachelor degree in law</w:t>
      </w:r>
      <w:proofErr w:type="gramEnd"/>
      <w:r w:rsidRPr="00F631CD">
        <w:rPr>
          <w:rFonts w:ascii="Arial" w:hAnsi="Arial" w:cs="Arial"/>
          <w:sz w:val="20"/>
        </w:rPr>
        <w:t xml:space="preserve"> and eligibility for admission as a solicitor or barrister in the Supreme Court of Queensland, along with an extensive period of practice post-admission is required.</w:t>
      </w:r>
    </w:p>
    <w:p w14:paraId="6AFD2EE8" w14:textId="18213D8E" w:rsidR="00ED1318" w:rsidRDefault="00ED1318" w:rsidP="00E449D4">
      <w:pPr>
        <w:pStyle w:val="ListParagraph"/>
        <w:numPr>
          <w:ilvl w:val="2"/>
          <w:numId w:val="1"/>
        </w:numPr>
        <w:tabs>
          <w:tab w:val="left" w:pos="1180"/>
          <w:tab w:val="left" w:pos="1181"/>
        </w:tabs>
        <w:spacing w:line="276" w:lineRule="auto"/>
        <w:ind w:right="1018"/>
        <w:rPr>
          <w:rFonts w:ascii="Arial" w:hAnsi="Arial" w:cs="Arial"/>
          <w:sz w:val="20"/>
        </w:rPr>
      </w:pPr>
      <w:r>
        <w:rPr>
          <w:rFonts w:ascii="Arial" w:hAnsi="Arial" w:cs="Arial"/>
          <w:sz w:val="20"/>
        </w:rPr>
        <w:t>Experience in all or some of the General Counsel functional teams including corporate governance, risk, resilience, insurance, internal audit, workplace relations, integrity, compliance and privacy.</w:t>
      </w:r>
    </w:p>
    <w:p w14:paraId="5E322EC8" w14:textId="6EF27269" w:rsidR="00ED1318" w:rsidRDefault="00ED1318" w:rsidP="00E449D4">
      <w:pPr>
        <w:pStyle w:val="ListParagraph"/>
        <w:numPr>
          <w:ilvl w:val="2"/>
          <w:numId w:val="1"/>
        </w:numPr>
        <w:tabs>
          <w:tab w:val="left" w:pos="1180"/>
          <w:tab w:val="left" w:pos="1181"/>
        </w:tabs>
        <w:spacing w:line="276" w:lineRule="auto"/>
        <w:ind w:right="1018"/>
        <w:rPr>
          <w:rFonts w:ascii="Arial" w:hAnsi="Arial" w:cs="Arial"/>
          <w:sz w:val="20"/>
        </w:rPr>
      </w:pPr>
      <w:r>
        <w:rPr>
          <w:rFonts w:ascii="Arial" w:hAnsi="Arial" w:cs="Arial"/>
          <w:sz w:val="20"/>
        </w:rPr>
        <w:t>Demonstrated ability to lead diverse teams and drive engagement and enablement.</w:t>
      </w:r>
    </w:p>
    <w:p w14:paraId="1D6EECF6" w14:textId="16C078C9" w:rsidR="00540999" w:rsidRPr="00C138CC" w:rsidRDefault="00540999" w:rsidP="00E449D4">
      <w:pPr>
        <w:pStyle w:val="ListParagraph"/>
        <w:numPr>
          <w:ilvl w:val="2"/>
          <w:numId w:val="1"/>
        </w:numPr>
        <w:tabs>
          <w:tab w:val="left" w:pos="1180"/>
          <w:tab w:val="left" w:pos="1181"/>
        </w:tabs>
        <w:spacing w:line="276" w:lineRule="auto"/>
        <w:ind w:right="1018"/>
        <w:rPr>
          <w:rFonts w:ascii="Arial" w:hAnsi="Arial" w:cs="Arial"/>
          <w:sz w:val="20"/>
        </w:rPr>
      </w:pPr>
      <w:r>
        <w:rPr>
          <w:rFonts w:ascii="Arial" w:hAnsi="Arial" w:cs="Arial"/>
          <w:sz w:val="20"/>
        </w:rPr>
        <w:t xml:space="preserve">Demonstrated ability to engage strategically and meaningfully with governing </w:t>
      </w:r>
      <w:r>
        <w:rPr>
          <w:rFonts w:ascii="Arial" w:hAnsi="Arial" w:cs="Arial"/>
          <w:sz w:val="20"/>
        </w:rPr>
        <w:lastRenderedPageBreak/>
        <w:t xml:space="preserve">bodies and regulators </w:t>
      </w:r>
    </w:p>
    <w:p w14:paraId="35D0314E"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3.0</w:t>
      </w:r>
      <w:r w:rsidRPr="00C138CC">
        <w:rPr>
          <w:rFonts w:ascii="Arial" w:hAnsi="Arial" w:cs="Arial"/>
          <w:color w:val="E20917"/>
        </w:rPr>
        <w:tab/>
        <w:t>Key Responsibilities</w:t>
      </w:r>
    </w:p>
    <w:p w14:paraId="0F00541B" w14:textId="77777777" w:rsidR="00E449D4" w:rsidRPr="00C138CC" w:rsidRDefault="00E449D4" w:rsidP="00E449D4">
      <w:pPr>
        <w:pStyle w:val="BodyText"/>
        <w:spacing w:before="3"/>
        <w:rPr>
          <w:sz w:val="17"/>
        </w:rPr>
      </w:pPr>
    </w:p>
    <w:p w14:paraId="7EDDD241" w14:textId="77777777" w:rsidR="00540999" w:rsidRDefault="00FF65FA" w:rsidP="00FF65FA">
      <w:pPr>
        <w:pStyle w:val="ListParagraph"/>
        <w:numPr>
          <w:ilvl w:val="2"/>
          <w:numId w:val="1"/>
        </w:numPr>
        <w:rPr>
          <w:rFonts w:ascii="Arial" w:hAnsi="Arial" w:cs="Arial"/>
          <w:sz w:val="20"/>
        </w:rPr>
      </w:pPr>
      <w:r w:rsidRPr="00FF65FA">
        <w:rPr>
          <w:rFonts w:ascii="Arial" w:hAnsi="Arial" w:cs="Arial"/>
          <w:sz w:val="20"/>
        </w:rPr>
        <w:t xml:space="preserve">Lead and manage the provision of strategic advice, guidance and direction to the University in relation to </w:t>
      </w:r>
      <w:r w:rsidR="00540999">
        <w:rPr>
          <w:rFonts w:ascii="Arial" w:hAnsi="Arial" w:cs="Arial"/>
          <w:sz w:val="20"/>
        </w:rPr>
        <w:t>functional areas within the Office of the General Counsel.</w:t>
      </w:r>
    </w:p>
    <w:p w14:paraId="0DDDF678" w14:textId="57644531" w:rsidR="00FF65FA" w:rsidRPr="00FF65FA" w:rsidRDefault="00540999" w:rsidP="0082510C">
      <w:pPr>
        <w:pStyle w:val="ListParagraph"/>
        <w:ind w:left="1180"/>
        <w:rPr>
          <w:rFonts w:ascii="Arial" w:hAnsi="Arial" w:cs="Arial"/>
          <w:sz w:val="20"/>
        </w:rPr>
      </w:pPr>
      <w:r>
        <w:rPr>
          <w:rFonts w:ascii="Arial" w:hAnsi="Arial" w:cs="Arial"/>
          <w:sz w:val="20"/>
        </w:rPr>
        <w:t xml:space="preserve"> </w:t>
      </w:r>
    </w:p>
    <w:p w14:paraId="48D8D737" w14:textId="3CBF5705" w:rsidR="00FF65FA" w:rsidRDefault="00FF65FA" w:rsidP="00FF65FA">
      <w:pPr>
        <w:pStyle w:val="ListParagraph"/>
        <w:numPr>
          <w:ilvl w:val="2"/>
          <w:numId w:val="1"/>
        </w:numPr>
        <w:rPr>
          <w:rFonts w:ascii="Arial" w:hAnsi="Arial" w:cs="Arial"/>
          <w:sz w:val="20"/>
        </w:rPr>
      </w:pPr>
      <w:r w:rsidRPr="00FF65FA">
        <w:rPr>
          <w:rFonts w:ascii="Arial" w:hAnsi="Arial" w:cs="Arial"/>
          <w:sz w:val="20"/>
        </w:rPr>
        <w:t>Pro-actively support the senior leadership in identifying and managing all aspects of legal risk. Where required, represent the University where the University is a party to legal proceedings.</w:t>
      </w:r>
    </w:p>
    <w:p w14:paraId="26757099" w14:textId="77777777" w:rsidR="009919BE" w:rsidRPr="00301B35" w:rsidRDefault="009919BE" w:rsidP="009919BE">
      <w:pPr>
        <w:pStyle w:val="ListParagraph"/>
        <w:rPr>
          <w:rFonts w:ascii="Arial" w:hAnsi="Arial" w:cs="Arial"/>
          <w:sz w:val="20"/>
        </w:rPr>
      </w:pPr>
    </w:p>
    <w:p w14:paraId="026D6691" w14:textId="77777777" w:rsidR="009919BE" w:rsidRDefault="009919BE" w:rsidP="009919BE">
      <w:pPr>
        <w:pStyle w:val="ListParagraph"/>
        <w:numPr>
          <w:ilvl w:val="2"/>
          <w:numId w:val="1"/>
        </w:numPr>
        <w:rPr>
          <w:rFonts w:ascii="Arial" w:hAnsi="Arial" w:cs="Arial"/>
          <w:sz w:val="20"/>
        </w:rPr>
      </w:pPr>
      <w:r w:rsidRPr="00301B35">
        <w:rPr>
          <w:rFonts w:ascii="Arial" w:hAnsi="Arial" w:cs="Arial"/>
          <w:sz w:val="20"/>
        </w:rPr>
        <w:t>Through the provision of an effective corporate governance function, support the University’s core governing bodies i.e. University Council and associated Committees.</w:t>
      </w:r>
    </w:p>
    <w:p w14:paraId="12CAB456" w14:textId="77777777" w:rsidR="00301B35" w:rsidRDefault="00301B35" w:rsidP="00301B35">
      <w:pPr>
        <w:pStyle w:val="ListParagraph"/>
        <w:tabs>
          <w:tab w:val="left" w:pos="1180"/>
          <w:tab w:val="left" w:pos="1181"/>
        </w:tabs>
        <w:spacing w:line="278" w:lineRule="auto"/>
        <w:ind w:left="1180" w:right="1020"/>
        <w:rPr>
          <w:rFonts w:ascii="Arial" w:hAnsi="Arial" w:cs="Arial"/>
          <w:sz w:val="20"/>
        </w:rPr>
      </w:pPr>
    </w:p>
    <w:p w14:paraId="4728D939" w14:textId="137A3C14" w:rsidR="00FF65FA" w:rsidRDefault="00FF65FA" w:rsidP="0082510C">
      <w:pPr>
        <w:pStyle w:val="ListParagraph"/>
        <w:numPr>
          <w:ilvl w:val="2"/>
          <w:numId w:val="1"/>
        </w:numPr>
        <w:rPr>
          <w:rFonts w:ascii="Arial" w:hAnsi="Arial" w:cs="Arial"/>
          <w:sz w:val="20"/>
        </w:rPr>
      </w:pPr>
      <w:r w:rsidRPr="00FF65FA">
        <w:rPr>
          <w:rFonts w:ascii="Arial" w:hAnsi="Arial" w:cs="Arial"/>
          <w:sz w:val="20"/>
        </w:rPr>
        <w:t xml:space="preserve">Ensure the </w:t>
      </w:r>
      <w:r w:rsidR="00540999">
        <w:rPr>
          <w:rFonts w:ascii="Arial" w:hAnsi="Arial" w:cs="Arial"/>
          <w:sz w:val="20"/>
        </w:rPr>
        <w:t xml:space="preserve">University has the benefit of a fit for purpose enterprise risk management framework that </w:t>
      </w:r>
      <w:r w:rsidRPr="00FF65FA">
        <w:rPr>
          <w:rFonts w:ascii="Arial" w:hAnsi="Arial" w:cs="Arial"/>
          <w:sz w:val="20"/>
        </w:rPr>
        <w:t>enables the University strategy from a risk management perspective</w:t>
      </w:r>
      <w:r w:rsidR="009919BE">
        <w:rPr>
          <w:rFonts w:ascii="Arial" w:hAnsi="Arial" w:cs="Arial"/>
          <w:sz w:val="20"/>
        </w:rPr>
        <w:t xml:space="preserve"> (including an appropriate insurance portfolio)</w:t>
      </w:r>
      <w:r w:rsidR="00540999">
        <w:rPr>
          <w:rFonts w:ascii="Arial" w:hAnsi="Arial" w:cs="Arial"/>
          <w:sz w:val="20"/>
        </w:rPr>
        <w:t>.</w:t>
      </w:r>
    </w:p>
    <w:p w14:paraId="1158B0D3" w14:textId="77777777" w:rsidR="00540999" w:rsidRPr="0082510C" w:rsidRDefault="00540999" w:rsidP="0082510C">
      <w:pPr>
        <w:pStyle w:val="ListParagraph"/>
        <w:rPr>
          <w:rFonts w:ascii="Arial" w:hAnsi="Arial" w:cs="Arial"/>
          <w:sz w:val="20"/>
        </w:rPr>
      </w:pPr>
    </w:p>
    <w:p w14:paraId="2FCE086B" w14:textId="15E5F447" w:rsidR="00540999" w:rsidRDefault="00540999" w:rsidP="00540999">
      <w:pPr>
        <w:pStyle w:val="ListParagraph"/>
        <w:numPr>
          <w:ilvl w:val="2"/>
          <w:numId w:val="1"/>
        </w:numPr>
        <w:rPr>
          <w:rFonts w:ascii="Arial" w:hAnsi="Arial" w:cs="Arial"/>
          <w:sz w:val="20"/>
        </w:rPr>
      </w:pPr>
      <w:r w:rsidRPr="00301B35">
        <w:rPr>
          <w:rFonts w:ascii="Arial" w:hAnsi="Arial" w:cs="Arial"/>
          <w:sz w:val="20"/>
        </w:rPr>
        <w:t xml:space="preserve">Work closely with senior executives and the governance bodies to enable a mature </w:t>
      </w:r>
      <w:r w:rsidR="009919BE">
        <w:rPr>
          <w:rFonts w:ascii="Arial" w:hAnsi="Arial" w:cs="Arial"/>
          <w:sz w:val="20"/>
        </w:rPr>
        <w:t>risk culture</w:t>
      </w:r>
      <w:r w:rsidRPr="00301B35">
        <w:rPr>
          <w:rFonts w:ascii="Arial" w:hAnsi="Arial" w:cs="Arial"/>
          <w:sz w:val="20"/>
        </w:rPr>
        <w:t>. Ensure business continuity planning is in place across the organisation and build resilience through an appropriate scenario testing program.</w:t>
      </w:r>
    </w:p>
    <w:p w14:paraId="79FB30EA" w14:textId="77777777" w:rsidR="00301B35" w:rsidRPr="00301B35" w:rsidRDefault="00301B35" w:rsidP="00301B35">
      <w:pPr>
        <w:pStyle w:val="ListParagraph"/>
        <w:rPr>
          <w:rFonts w:ascii="Arial" w:hAnsi="Arial" w:cs="Arial"/>
          <w:sz w:val="20"/>
        </w:rPr>
      </w:pPr>
    </w:p>
    <w:p w14:paraId="0F736374" w14:textId="6BEE46D6" w:rsidR="009919BE" w:rsidRDefault="00540999" w:rsidP="00301B35">
      <w:pPr>
        <w:pStyle w:val="ListParagraph"/>
        <w:numPr>
          <w:ilvl w:val="2"/>
          <w:numId w:val="1"/>
        </w:numPr>
        <w:rPr>
          <w:rFonts w:ascii="Arial" w:hAnsi="Arial" w:cs="Arial"/>
          <w:sz w:val="20"/>
        </w:rPr>
      </w:pPr>
      <w:r w:rsidRPr="009919BE">
        <w:rPr>
          <w:rFonts w:ascii="Arial" w:hAnsi="Arial" w:cs="Arial"/>
          <w:sz w:val="20"/>
        </w:rPr>
        <w:t>M</w:t>
      </w:r>
      <w:r w:rsidR="00301B35" w:rsidRPr="009919BE">
        <w:rPr>
          <w:rFonts w:ascii="Arial" w:hAnsi="Arial" w:cs="Arial"/>
          <w:sz w:val="20"/>
        </w:rPr>
        <w:t>aintain a robust risk-based compliance program, designed to identify and appropriately manage compliance obligations.</w:t>
      </w:r>
    </w:p>
    <w:p w14:paraId="15F163A5" w14:textId="77777777" w:rsidR="009919BE" w:rsidRDefault="009919BE" w:rsidP="0082510C">
      <w:pPr>
        <w:pStyle w:val="ListParagraph"/>
        <w:ind w:left="1180"/>
        <w:rPr>
          <w:rFonts w:ascii="Arial" w:hAnsi="Arial" w:cs="Arial"/>
          <w:sz w:val="20"/>
        </w:rPr>
      </w:pPr>
    </w:p>
    <w:p w14:paraId="585E41A9" w14:textId="77777777" w:rsidR="009919BE" w:rsidRPr="009919BE" w:rsidRDefault="009919BE" w:rsidP="009919BE">
      <w:pPr>
        <w:pStyle w:val="ListParagraph"/>
        <w:numPr>
          <w:ilvl w:val="2"/>
          <w:numId w:val="1"/>
        </w:numPr>
        <w:rPr>
          <w:rFonts w:ascii="Arial" w:hAnsi="Arial" w:cs="Arial"/>
          <w:sz w:val="20"/>
        </w:rPr>
      </w:pPr>
      <w:r>
        <w:rPr>
          <w:rFonts w:ascii="Arial" w:hAnsi="Arial" w:cs="Arial"/>
          <w:sz w:val="20"/>
        </w:rPr>
        <w:t>Oversight the provision of co-sourced Internal Audit to deliver third line assurance integrated into a broader risk and compliance assurance map.</w:t>
      </w:r>
    </w:p>
    <w:p w14:paraId="70A806DE" w14:textId="77777777" w:rsidR="009919BE" w:rsidRDefault="009919BE" w:rsidP="0082510C">
      <w:pPr>
        <w:pStyle w:val="ListParagraph"/>
        <w:ind w:left="1180"/>
        <w:rPr>
          <w:rFonts w:ascii="Arial" w:hAnsi="Arial" w:cs="Arial"/>
          <w:sz w:val="20"/>
        </w:rPr>
      </w:pPr>
    </w:p>
    <w:p w14:paraId="073FE690" w14:textId="6392A463" w:rsidR="00301B35" w:rsidRDefault="009919BE" w:rsidP="00301B35">
      <w:pPr>
        <w:pStyle w:val="ListParagraph"/>
        <w:numPr>
          <w:ilvl w:val="2"/>
          <w:numId w:val="1"/>
        </w:numPr>
        <w:rPr>
          <w:rFonts w:ascii="Arial" w:hAnsi="Arial" w:cs="Arial"/>
          <w:sz w:val="20"/>
        </w:rPr>
      </w:pPr>
      <w:r>
        <w:rPr>
          <w:rFonts w:ascii="Arial" w:hAnsi="Arial" w:cs="Arial"/>
          <w:sz w:val="20"/>
        </w:rPr>
        <w:t>Support senior executives and the HR function through the provision of strategic workplace relations and integrity advisory services including enterprise bargaining, and complex case management and investigations, underpinned by an Integrity framework.</w:t>
      </w:r>
    </w:p>
    <w:p w14:paraId="4EBBC7EA" w14:textId="77777777" w:rsidR="009919BE" w:rsidRDefault="009919BE" w:rsidP="0082510C">
      <w:pPr>
        <w:pStyle w:val="ListParagraph"/>
        <w:ind w:left="1180"/>
        <w:rPr>
          <w:rFonts w:ascii="Arial" w:hAnsi="Arial" w:cs="Arial"/>
          <w:sz w:val="20"/>
        </w:rPr>
      </w:pPr>
    </w:p>
    <w:p w14:paraId="7EEFF432" w14:textId="43DE0EE8" w:rsidR="009919BE" w:rsidRDefault="00301B35" w:rsidP="0082510C">
      <w:pPr>
        <w:pStyle w:val="ListParagraph"/>
        <w:numPr>
          <w:ilvl w:val="2"/>
          <w:numId w:val="1"/>
        </w:numPr>
        <w:rPr>
          <w:rFonts w:ascii="Arial" w:hAnsi="Arial" w:cs="Arial"/>
          <w:sz w:val="20"/>
        </w:rPr>
      </w:pPr>
      <w:r w:rsidRPr="00301B35">
        <w:rPr>
          <w:rFonts w:ascii="Arial" w:hAnsi="Arial" w:cs="Arial"/>
          <w:sz w:val="20"/>
        </w:rPr>
        <w:t>Provide leadership to the Office in facilitating a working environment which supports and enhances the provision of high quality, professional services, advice and guidance to the University and external stakeholders and partners</w:t>
      </w:r>
      <w:r w:rsidR="009919BE">
        <w:rPr>
          <w:rFonts w:ascii="Arial" w:hAnsi="Arial" w:cs="Arial"/>
          <w:sz w:val="20"/>
        </w:rPr>
        <w:t>, with a focus on continuous improvement and the adoption of technology</w:t>
      </w:r>
      <w:r w:rsidRPr="00301B35">
        <w:rPr>
          <w:rFonts w:ascii="Arial" w:hAnsi="Arial" w:cs="Arial"/>
          <w:sz w:val="20"/>
        </w:rPr>
        <w:t>.</w:t>
      </w:r>
      <w:r w:rsidR="009919BE">
        <w:rPr>
          <w:rFonts w:ascii="Arial" w:hAnsi="Arial" w:cs="Arial"/>
          <w:sz w:val="20"/>
        </w:rPr>
        <w:t xml:space="preserve"> </w:t>
      </w:r>
    </w:p>
    <w:p w14:paraId="419F46A6" w14:textId="77777777" w:rsidR="009919BE" w:rsidRDefault="009919BE" w:rsidP="009919BE">
      <w:pPr>
        <w:pStyle w:val="ListParagraph"/>
        <w:ind w:left="1180"/>
        <w:rPr>
          <w:rFonts w:ascii="Arial" w:hAnsi="Arial" w:cs="Arial"/>
          <w:sz w:val="20"/>
        </w:rPr>
      </w:pPr>
    </w:p>
    <w:p w14:paraId="2D5B23BC" w14:textId="737098B5" w:rsidR="009919BE" w:rsidRDefault="009919BE" w:rsidP="0082510C">
      <w:pPr>
        <w:pStyle w:val="ListParagraph"/>
        <w:numPr>
          <w:ilvl w:val="2"/>
          <w:numId w:val="1"/>
        </w:numPr>
        <w:rPr>
          <w:rFonts w:ascii="Arial" w:hAnsi="Arial" w:cs="Arial"/>
          <w:sz w:val="20"/>
        </w:rPr>
      </w:pPr>
      <w:r w:rsidRPr="00540999">
        <w:rPr>
          <w:rFonts w:ascii="Arial" w:hAnsi="Arial" w:cs="Arial"/>
          <w:sz w:val="20"/>
        </w:rPr>
        <w:t xml:space="preserve">Ensure a service orientated culture that strives to ensure efficiency and effectiveness and a positive user experience that aligns with the Corporate Services strategy and values. </w:t>
      </w:r>
    </w:p>
    <w:p w14:paraId="0CD0F7A2" w14:textId="77777777" w:rsidR="00301B35" w:rsidRPr="00301B35" w:rsidRDefault="00301B35" w:rsidP="00301B35">
      <w:pPr>
        <w:pStyle w:val="ListParagraph"/>
        <w:rPr>
          <w:rFonts w:ascii="Arial" w:hAnsi="Arial" w:cs="Arial"/>
          <w:sz w:val="20"/>
        </w:rPr>
      </w:pPr>
    </w:p>
    <w:p w14:paraId="363E3DAD" w14:textId="30503328" w:rsidR="00301B35" w:rsidRPr="00301B35" w:rsidRDefault="00301B35" w:rsidP="00301B35">
      <w:pPr>
        <w:pStyle w:val="ListParagraph"/>
        <w:numPr>
          <w:ilvl w:val="2"/>
          <w:numId w:val="1"/>
        </w:numPr>
        <w:rPr>
          <w:rFonts w:ascii="Arial" w:hAnsi="Arial" w:cs="Arial"/>
          <w:sz w:val="20"/>
        </w:rPr>
      </w:pPr>
      <w:r w:rsidRPr="00301B35">
        <w:rPr>
          <w:rFonts w:ascii="Arial" w:hAnsi="Arial" w:cs="Arial"/>
          <w:sz w:val="20"/>
        </w:rPr>
        <w:t xml:space="preserve">Lead and promote a </w:t>
      </w:r>
      <w:proofErr w:type="gramStart"/>
      <w:r w:rsidRPr="00301B35">
        <w:rPr>
          <w:rFonts w:ascii="Arial" w:hAnsi="Arial" w:cs="Arial"/>
          <w:sz w:val="20"/>
        </w:rPr>
        <w:t>values</w:t>
      </w:r>
      <w:proofErr w:type="gramEnd"/>
      <w:r w:rsidRPr="00301B35">
        <w:rPr>
          <w:rFonts w:ascii="Arial" w:hAnsi="Arial" w:cs="Arial"/>
          <w:sz w:val="20"/>
        </w:rPr>
        <w:t xml:space="preserve"> based, safe, healthy, fair, professional and equitable workplace, compliant with relevant legislation and University policies and procedures, and exhibit exemplary standards and practice that achieve employer of choice status</w:t>
      </w:r>
    </w:p>
    <w:p w14:paraId="15E6FE81" w14:textId="77777777" w:rsidR="00E449D4" w:rsidRPr="00C138CC" w:rsidRDefault="00E449D4" w:rsidP="00E449D4">
      <w:pPr>
        <w:pStyle w:val="Heading2"/>
        <w:tabs>
          <w:tab w:val="left" w:pos="862"/>
        </w:tabs>
        <w:ind w:left="142" w:firstLine="0"/>
        <w:rPr>
          <w:rFonts w:ascii="Arial" w:hAnsi="Arial" w:cs="Arial"/>
          <w:color w:val="E20917"/>
        </w:rPr>
      </w:pPr>
      <w:bookmarkStart w:id="0" w:name="On_the_recommendation_of_the_Vice_Chance"/>
      <w:bookmarkEnd w:id="0"/>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E449D4">
      <w:pPr>
        <w:pStyle w:val="ListParagraph"/>
        <w:tabs>
          <w:tab w:val="left" w:pos="1180"/>
          <w:tab w:val="left" w:pos="1181"/>
        </w:tabs>
        <w:spacing w:line="278" w:lineRule="auto"/>
        <w:ind w:right="1020"/>
        <w:rPr>
          <w:rFonts w:ascii="Arial" w:hAnsi="Arial" w:cs="Arial"/>
          <w:sz w:val="20"/>
        </w:rPr>
      </w:pPr>
    </w:p>
    <w:p w14:paraId="42E79E90" w14:textId="77777777" w:rsidR="00DC185F" w:rsidRPr="00D803DA" w:rsidRDefault="00DC185F" w:rsidP="00DC185F">
      <w:pPr>
        <w:pStyle w:val="paragraph"/>
        <w:numPr>
          <w:ilvl w:val="0"/>
          <w:numId w:val="2"/>
        </w:numPr>
        <w:spacing w:before="0" w:beforeAutospacing="0" w:after="0" w:afterAutospacing="0"/>
        <w:ind w:left="1276" w:hanging="425"/>
        <w:textAlignment w:val="baseline"/>
        <w:rPr>
          <w:rFonts w:eastAsia="Malgun Gothic"/>
        </w:rPr>
      </w:pPr>
      <w:r w:rsidRPr="00D803DA">
        <w:rPr>
          <w:rFonts w:ascii="Arial" w:hAnsi="Arial" w:cs="Arial"/>
          <w:color w:val="000000"/>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Default="00DC185F" w:rsidP="00DC185F">
      <w:pPr>
        <w:tabs>
          <w:tab w:val="left" w:pos="1181"/>
        </w:tabs>
        <w:spacing w:line="276" w:lineRule="auto"/>
        <w:ind w:left="820" w:right="1020"/>
        <w:rPr>
          <w:rFonts w:ascii="Arial" w:hAnsi="Arial" w:cs="Arial"/>
          <w:color w:val="000000"/>
          <w:sz w:val="20"/>
          <w:szCs w:val="20"/>
          <w:lang w:bidi="ar-SA"/>
        </w:rPr>
      </w:pPr>
    </w:p>
    <w:p w14:paraId="593CD0FF" w14:textId="2BC7864C" w:rsidR="00EB78CB" w:rsidRDefault="00DC185F" w:rsidP="0082510C">
      <w:pPr>
        <w:tabs>
          <w:tab w:val="left" w:pos="1276"/>
        </w:tabs>
        <w:spacing w:line="276" w:lineRule="auto"/>
        <w:ind w:left="1276" w:right="1020"/>
      </w:pPr>
      <w:r>
        <w:rPr>
          <w:rFonts w:ascii="Arial" w:hAnsi="Arial" w:cs="Arial"/>
          <w:color w:val="000000"/>
          <w:sz w:val="20"/>
          <w:szCs w:val="20"/>
          <w:lang w:bidi="ar-SA"/>
        </w:rPr>
        <w:t xml:space="preserve">To read about some of the non-technical organisation skills for this position, please see the </w:t>
      </w:r>
      <w:r w:rsidRPr="00301B35">
        <w:rPr>
          <w:rFonts w:ascii="Arial" w:hAnsi="Arial" w:cs="Arial"/>
          <w:color w:val="000000" w:themeColor="text1"/>
          <w:sz w:val="20"/>
          <w:szCs w:val="20"/>
          <w:lang w:bidi="ar-SA"/>
        </w:rPr>
        <w:t xml:space="preserve">Leads </w:t>
      </w:r>
      <w:r w:rsidR="00F124B5" w:rsidRPr="00301B35">
        <w:rPr>
          <w:rFonts w:ascii="Arial" w:hAnsi="Arial" w:cs="Arial"/>
          <w:color w:val="000000" w:themeColor="text1"/>
          <w:sz w:val="20"/>
          <w:szCs w:val="20"/>
          <w:lang w:bidi="ar-SA"/>
        </w:rPr>
        <w:t>Others</w:t>
      </w:r>
      <w:r w:rsidRPr="00301B35">
        <w:rPr>
          <w:rFonts w:ascii="Arial" w:hAnsi="Arial" w:cs="Arial"/>
          <w:color w:val="000000" w:themeColor="text1"/>
          <w:sz w:val="20"/>
          <w:szCs w:val="20"/>
          <w:lang w:bidi="ar-SA"/>
        </w:rPr>
        <w:t xml:space="preserve"> </w:t>
      </w:r>
      <w:r>
        <w:rPr>
          <w:rFonts w:ascii="Arial" w:hAnsi="Arial" w:cs="Arial"/>
          <w:color w:val="000000"/>
          <w:sz w:val="20"/>
          <w:szCs w:val="20"/>
          <w:lang w:bidi="ar-SA"/>
        </w:rPr>
        <w:t xml:space="preserve">section of our </w:t>
      </w:r>
      <w:hyperlink r:id="rId7" w:anchor="framework" w:history="1">
        <w:r>
          <w:rPr>
            <w:rStyle w:val="Hyperlink"/>
            <w:rFonts w:ascii="Arial" w:hAnsi="Arial" w:cs="Arial"/>
            <w:color w:val="0033CC"/>
            <w:sz w:val="20"/>
            <w:szCs w:val="20"/>
            <w:lang w:bidi="ar-SA"/>
          </w:rPr>
          <w:t>Capability Development Framework</w:t>
        </w:r>
      </w:hyperlink>
      <w:r>
        <w:rPr>
          <w:rFonts w:ascii="Arial" w:hAnsi="Arial" w:cs="Arial"/>
          <w:color w:val="000000"/>
          <w:sz w:val="20"/>
          <w:szCs w:val="20"/>
          <w:lang w:bidi="ar-SA"/>
        </w:rPr>
        <w:t>.</w:t>
      </w:r>
    </w:p>
    <w:sectPr w:rsidR="00EB78CB" w:rsidSect="00EB78CB">
      <w:foot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36974D" w14:textId="77777777" w:rsidR="00086E6B" w:rsidRDefault="00086E6B" w:rsidP="00E449D4">
      <w:r>
        <w:separator/>
      </w:r>
    </w:p>
  </w:endnote>
  <w:endnote w:type="continuationSeparator" w:id="0">
    <w:p w14:paraId="182D93E7" w14:textId="77777777" w:rsidR="00086E6B" w:rsidRDefault="00086E6B"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3EF86" w14:textId="0E0C9952" w:rsidR="00E449D4" w:rsidRDefault="00E449D4">
    <w:pPr>
      <w:pStyle w:val="Footer"/>
    </w:pPr>
    <w:r>
      <w:rPr>
        <w:noProof/>
      </w:rPr>
      <mc:AlternateContent>
        <mc:Choice Requires="wpg">
          <w:drawing>
            <wp:anchor distT="0" distB="0" distL="114300" distR="114300" simplePos="0" relativeHeight="251658240"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B4B5E2" id="Group 1" o:spid="_x0000_s1026" style="position:absolute;margin-left:.5pt;margin-top:570.5pt;width:280.75pt;height:280.65pt;z-index:251658240;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3BB94" w14:textId="23D734C8" w:rsidR="00EB78CB" w:rsidRDefault="00EB78CB">
    <w:pPr>
      <w:pStyle w:val="Footer"/>
    </w:pPr>
    <w:r>
      <w:rPr>
        <w:noProof/>
      </w:rPr>
      <mc:AlternateContent>
        <mc:Choice Requires="wpg">
          <w:drawing>
            <wp:anchor distT="0" distB="0" distL="114300" distR="114300" simplePos="0" relativeHeight="251667456"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E949E7" id="Group 6" o:spid="_x0000_s1026" style="position:absolute;margin-left:.4pt;margin-top:0;width:280.75pt;height:280.65pt;z-index:251667456;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E6966E" w14:textId="77777777" w:rsidR="00086E6B" w:rsidRDefault="00086E6B" w:rsidP="00E449D4">
      <w:r>
        <w:separator/>
      </w:r>
    </w:p>
  </w:footnote>
  <w:footnote w:type="continuationSeparator" w:id="0">
    <w:p w14:paraId="67A04F25" w14:textId="77777777" w:rsidR="00086E6B" w:rsidRDefault="00086E6B"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1544D" w14:textId="30269F57" w:rsidR="00EB78CB" w:rsidRDefault="00EB78CB">
    <w:pPr>
      <w:pStyle w:val="Header"/>
    </w:pPr>
    <w:r>
      <w:rPr>
        <w:noProof/>
      </w:rPr>
      <w:drawing>
        <wp:anchor distT="0" distB="0" distL="114300" distR="114300" simplePos="0" relativeHeight="251665408"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5"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EE564" id="Freeform: Shape 4" o:spid="_x0000_s1026" style="position:absolute;margin-left:178.85pt;margin-top:1.2pt;width:230.05pt;height:151.95pt;z-index:251657215;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0254D"/>
    <w:multiLevelType w:val="hybridMultilevel"/>
    <w:tmpl w:val="43CC4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69D7F3B"/>
    <w:multiLevelType w:val="multilevel"/>
    <w:tmpl w:val="A78898F4"/>
    <w:lvl w:ilvl="0">
      <w:start w:val="1"/>
      <w:numFmt w:val="decimal"/>
      <w:lvlText w:val="%1.0"/>
      <w:lvlJc w:val="left"/>
      <w:pPr>
        <w:ind w:left="502"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702" w:hanging="1800"/>
      </w:pPr>
      <w:rPr>
        <w:rFonts w:hint="default"/>
      </w:rPr>
    </w:lvl>
  </w:abstractNum>
  <w:abstractNum w:abstractNumId="2"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3" w15:restartNumberingAfterBreak="0">
    <w:nsid w:val="50E76DD9"/>
    <w:multiLevelType w:val="hybridMultilevel"/>
    <w:tmpl w:val="CE68176A"/>
    <w:lvl w:ilvl="0" w:tplc="0C090001">
      <w:start w:val="1"/>
      <w:numFmt w:val="bullet"/>
      <w:lvlText w:val=""/>
      <w:lvlJc w:val="left"/>
      <w:pPr>
        <w:ind w:left="1900" w:hanging="360"/>
      </w:pPr>
      <w:rPr>
        <w:rFonts w:ascii="Symbol" w:hAnsi="Symbol" w:hint="default"/>
      </w:rPr>
    </w:lvl>
    <w:lvl w:ilvl="1" w:tplc="0C090003" w:tentative="1">
      <w:start w:val="1"/>
      <w:numFmt w:val="bullet"/>
      <w:lvlText w:val="o"/>
      <w:lvlJc w:val="left"/>
      <w:pPr>
        <w:ind w:left="2620" w:hanging="360"/>
      </w:pPr>
      <w:rPr>
        <w:rFonts w:ascii="Courier New" w:hAnsi="Courier New" w:cs="Courier New" w:hint="default"/>
      </w:rPr>
    </w:lvl>
    <w:lvl w:ilvl="2" w:tplc="0C090005" w:tentative="1">
      <w:start w:val="1"/>
      <w:numFmt w:val="bullet"/>
      <w:lvlText w:val=""/>
      <w:lvlJc w:val="left"/>
      <w:pPr>
        <w:ind w:left="3340" w:hanging="360"/>
      </w:pPr>
      <w:rPr>
        <w:rFonts w:ascii="Wingdings" w:hAnsi="Wingdings" w:hint="default"/>
      </w:rPr>
    </w:lvl>
    <w:lvl w:ilvl="3" w:tplc="0C090001" w:tentative="1">
      <w:start w:val="1"/>
      <w:numFmt w:val="bullet"/>
      <w:lvlText w:val=""/>
      <w:lvlJc w:val="left"/>
      <w:pPr>
        <w:ind w:left="4060" w:hanging="360"/>
      </w:pPr>
      <w:rPr>
        <w:rFonts w:ascii="Symbol" w:hAnsi="Symbol" w:hint="default"/>
      </w:rPr>
    </w:lvl>
    <w:lvl w:ilvl="4" w:tplc="0C090003" w:tentative="1">
      <w:start w:val="1"/>
      <w:numFmt w:val="bullet"/>
      <w:lvlText w:val="o"/>
      <w:lvlJc w:val="left"/>
      <w:pPr>
        <w:ind w:left="4780" w:hanging="360"/>
      </w:pPr>
      <w:rPr>
        <w:rFonts w:ascii="Courier New" w:hAnsi="Courier New" w:cs="Courier New" w:hint="default"/>
      </w:rPr>
    </w:lvl>
    <w:lvl w:ilvl="5" w:tplc="0C090005" w:tentative="1">
      <w:start w:val="1"/>
      <w:numFmt w:val="bullet"/>
      <w:lvlText w:val=""/>
      <w:lvlJc w:val="left"/>
      <w:pPr>
        <w:ind w:left="5500" w:hanging="360"/>
      </w:pPr>
      <w:rPr>
        <w:rFonts w:ascii="Wingdings" w:hAnsi="Wingdings" w:hint="default"/>
      </w:rPr>
    </w:lvl>
    <w:lvl w:ilvl="6" w:tplc="0C090001" w:tentative="1">
      <w:start w:val="1"/>
      <w:numFmt w:val="bullet"/>
      <w:lvlText w:val=""/>
      <w:lvlJc w:val="left"/>
      <w:pPr>
        <w:ind w:left="6220" w:hanging="360"/>
      </w:pPr>
      <w:rPr>
        <w:rFonts w:ascii="Symbol" w:hAnsi="Symbol" w:hint="default"/>
      </w:rPr>
    </w:lvl>
    <w:lvl w:ilvl="7" w:tplc="0C090003" w:tentative="1">
      <w:start w:val="1"/>
      <w:numFmt w:val="bullet"/>
      <w:lvlText w:val="o"/>
      <w:lvlJc w:val="left"/>
      <w:pPr>
        <w:ind w:left="6940" w:hanging="360"/>
      </w:pPr>
      <w:rPr>
        <w:rFonts w:ascii="Courier New" w:hAnsi="Courier New" w:cs="Courier New" w:hint="default"/>
      </w:rPr>
    </w:lvl>
    <w:lvl w:ilvl="8" w:tplc="0C090005" w:tentative="1">
      <w:start w:val="1"/>
      <w:numFmt w:val="bullet"/>
      <w:lvlText w:val=""/>
      <w:lvlJc w:val="left"/>
      <w:pPr>
        <w:ind w:left="7660" w:hanging="360"/>
      </w:pPr>
      <w:rPr>
        <w:rFonts w:ascii="Wingdings" w:hAnsi="Wingdings" w:hint="default"/>
      </w:rPr>
    </w:lvl>
  </w:abstractNum>
  <w:abstractNum w:abstractNumId="4" w15:restartNumberingAfterBreak="0">
    <w:nsid w:val="5F4E73C8"/>
    <w:multiLevelType w:val="hybridMultilevel"/>
    <w:tmpl w:val="115686EC"/>
    <w:lvl w:ilvl="0" w:tplc="0C090001">
      <w:start w:val="1"/>
      <w:numFmt w:val="bullet"/>
      <w:lvlText w:val=""/>
      <w:lvlJc w:val="left"/>
      <w:pPr>
        <w:ind w:left="1900" w:hanging="360"/>
      </w:pPr>
      <w:rPr>
        <w:rFonts w:ascii="Symbol" w:hAnsi="Symbol" w:hint="default"/>
      </w:rPr>
    </w:lvl>
    <w:lvl w:ilvl="1" w:tplc="0C090003" w:tentative="1">
      <w:start w:val="1"/>
      <w:numFmt w:val="bullet"/>
      <w:lvlText w:val="o"/>
      <w:lvlJc w:val="left"/>
      <w:pPr>
        <w:ind w:left="2620" w:hanging="360"/>
      </w:pPr>
      <w:rPr>
        <w:rFonts w:ascii="Courier New" w:hAnsi="Courier New" w:cs="Courier New" w:hint="default"/>
      </w:rPr>
    </w:lvl>
    <w:lvl w:ilvl="2" w:tplc="0C090005" w:tentative="1">
      <w:start w:val="1"/>
      <w:numFmt w:val="bullet"/>
      <w:lvlText w:val=""/>
      <w:lvlJc w:val="left"/>
      <w:pPr>
        <w:ind w:left="3340" w:hanging="360"/>
      </w:pPr>
      <w:rPr>
        <w:rFonts w:ascii="Wingdings" w:hAnsi="Wingdings" w:hint="default"/>
      </w:rPr>
    </w:lvl>
    <w:lvl w:ilvl="3" w:tplc="0C090001" w:tentative="1">
      <w:start w:val="1"/>
      <w:numFmt w:val="bullet"/>
      <w:lvlText w:val=""/>
      <w:lvlJc w:val="left"/>
      <w:pPr>
        <w:ind w:left="4060" w:hanging="360"/>
      </w:pPr>
      <w:rPr>
        <w:rFonts w:ascii="Symbol" w:hAnsi="Symbol" w:hint="default"/>
      </w:rPr>
    </w:lvl>
    <w:lvl w:ilvl="4" w:tplc="0C090003" w:tentative="1">
      <w:start w:val="1"/>
      <w:numFmt w:val="bullet"/>
      <w:lvlText w:val="o"/>
      <w:lvlJc w:val="left"/>
      <w:pPr>
        <w:ind w:left="4780" w:hanging="360"/>
      </w:pPr>
      <w:rPr>
        <w:rFonts w:ascii="Courier New" w:hAnsi="Courier New" w:cs="Courier New" w:hint="default"/>
      </w:rPr>
    </w:lvl>
    <w:lvl w:ilvl="5" w:tplc="0C090005" w:tentative="1">
      <w:start w:val="1"/>
      <w:numFmt w:val="bullet"/>
      <w:lvlText w:val=""/>
      <w:lvlJc w:val="left"/>
      <w:pPr>
        <w:ind w:left="5500" w:hanging="360"/>
      </w:pPr>
      <w:rPr>
        <w:rFonts w:ascii="Wingdings" w:hAnsi="Wingdings" w:hint="default"/>
      </w:rPr>
    </w:lvl>
    <w:lvl w:ilvl="6" w:tplc="0C090001" w:tentative="1">
      <w:start w:val="1"/>
      <w:numFmt w:val="bullet"/>
      <w:lvlText w:val=""/>
      <w:lvlJc w:val="left"/>
      <w:pPr>
        <w:ind w:left="6220" w:hanging="360"/>
      </w:pPr>
      <w:rPr>
        <w:rFonts w:ascii="Symbol" w:hAnsi="Symbol" w:hint="default"/>
      </w:rPr>
    </w:lvl>
    <w:lvl w:ilvl="7" w:tplc="0C090003" w:tentative="1">
      <w:start w:val="1"/>
      <w:numFmt w:val="bullet"/>
      <w:lvlText w:val="o"/>
      <w:lvlJc w:val="left"/>
      <w:pPr>
        <w:ind w:left="6940" w:hanging="360"/>
      </w:pPr>
      <w:rPr>
        <w:rFonts w:ascii="Courier New" w:hAnsi="Courier New" w:cs="Courier New" w:hint="default"/>
      </w:rPr>
    </w:lvl>
    <w:lvl w:ilvl="8" w:tplc="0C090005" w:tentative="1">
      <w:start w:val="1"/>
      <w:numFmt w:val="bullet"/>
      <w:lvlText w:val=""/>
      <w:lvlJc w:val="left"/>
      <w:pPr>
        <w:ind w:left="7660" w:hanging="360"/>
      </w:pPr>
      <w:rPr>
        <w:rFonts w:ascii="Wingdings" w:hAnsi="Wingdings" w:hint="default"/>
      </w:rPr>
    </w:lvl>
  </w:abstractNum>
  <w:abstractNum w:abstractNumId="5"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11433579">
    <w:abstractNumId w:val="2"/>
  </w:num>
  <w:num w:numId="2" w16cid:durableId="2110734101">
    <w:abstractNumId w:val="5"/>
  </w:num>
  <w:num w:numId="3" w16cid:durableId="1832404879">
    <w:abstractNumId w:val="1"/>
  </w:num>
  <w:num w:numId="4" w16cid:durableId="400979184">
    <w:abstractNumId w:val="0"/>
  </w:num>
  <w:num w:numId="5" w16cid:durableId="164592370">
    <w:abstractNumId w:val="4"/>
  </w:num>
  <w:num w:numId="6" w16cid:durableId="18756576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86E6B"/>
    <w:rsid w:val="00121F2B"/>
    <w:rsid w:val="001F2167"/>
    <w:rsid w:val="00301B35"/>
    <w:rsid w:val="00390FA5"/>
    <w:rsid w:val="004B32CE"/>
    <w:rsid w:val="004B7C22"/>
    <w:rsid w:val="00540999"/>
    <w:rsid w:val="00684CD4"/>
    <w:rsid w:val="0082510C"/>
    <w:rsid w:val="008637AF"/>
    <w:rsid w:val="00864393"/>
    <w:rsid w:val="009408CF"/>
    <w:rsid w:val="009919BE"/>
    <w:rsid w:val="00A8494A"/>
    <w:rsid w:val="00DC185F"/>
    <w:rsid w:val="00E3020D"/>
    <w:rsid w:val="00E449D4"/>
    <w:rsid w:val="00EB78CB"/>
    <w:rsid w:val="00ED1318"/>
    <w:rsid w:val="00F124B5"/>
    <w:rsid w:val="00F631CD"/>
    <w:rsid w:val="00F6767D"/>
    <w:rsid w:val="00F70A73"/>
    <w:rsid w:val="00FB6470"/>
    <w:rsid w:val="00FF53B3"/>
    <w:rsid w:val="00FF65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0A0D2665-1007-4E9D-9DFB-44858F0B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 w:type="paragraph" w:styleId="BodyTextIndent2">
    <w:name w:val="Body Text Indent 2"/>
    <w:basedOn w:val="Normal"/>
    <w:link w:val="BodyTextIndent2Char"/>
    <w:uiPriority w:val="99"/>
    <w:semiHidden/>
    <w:unhideWhenUsed/>
    <w:rsid w:val="00F631CD"/>
    <w:pPr>
      <w:spacing w:after="120" w:line="480" w:lineRule="auto"/>
      <w:ind w:left="283"/>
    </w:pPr>
  </w:style>
  <w:style w:type="character" w:customStyle="1" w:styleId="BodyTextIndent2Char">
    <w:name w:val="Body Text Indent 2 Char"/>
    <w:basedOn w:val="DefaultParagraphFont"/>
    <w:link w:val="BodyTextIndent2"/>
    <w:uiPriority w:val="99"/>
    <w:semiHidden/>
    <w:rsid w:val="00F631CD"/>
    <w:rPr>
      <w:rFonts w:ascii="Times New Roman" w:eastAsia="Times New Roman" w:hAnsi="Times New Roman" w:cs="Times New Roman"/>
      <w:lang w:eastAsia="en-AU" w:bidi="en-AU"/>
    </w:rPr>
  </w:style>
  <w:style w:type="paragraph" w:styleId="Revision">
    <w:name w:val="Revision"/>
    <w:hidden/>
    <w:uiPriority w:val="99"/>
    <w:semiHidden/>
    <w:rsid w:val="00A8494A"/>
    <w:pPr>
      <w:spacing w:after="0" w:line="240" w:lineRule="auto"/>
    </w:pPr>
    <w:rPr>
      <w:rFonts w:ascii="Times New Roman" w:eastAsia="Times New Roman" w:hAnsi="Times New Roman" w:cs="Times New Roman"/>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ntranet.secure.griffith.edu.au/employment/learning-and-development/specialist-programs/capability-development-framewor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be698fa-1bc9-4010-ada4-5b4fd46a9d51}" enabled="1" method="Standar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2</Pages>
  <Words>830</Words>
  <Characters>4731</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Laura Whitworth</cp:lastModifiedBy>
  <cp:revision>2</cp:revision>
  <dcterms:created xsi:type="dcterms:W3CDTF">2024-07-19T00:28:00Z</dcterms:created>
  <dcterms:modified xsi:type="dcterms:W3CDTF">2024-07-19T00:28:00Z</dcterms:modified>
</cp:coreProperties>
</file>