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D5CC" w14:textId="7664FBE9" w:rsidR="00806709" w:rsidRPr="00F0680F" w:rsidRDefault="00C27DDF" w:rsidP="00F0680F">
      <w:pPr>
        <w:spacing w:after="0" w:line="259" w:lineRule="auto"/>
        <w:ind w:left="-270" w:right="0" w:firstLine="0"/>
        <w:jc w:val="left"/>
        <w:rPr>
          <w:rFonts w:ascii="Arial" w:hAnsi="Arial" w:cs="Arial"/>
          <w:b/>
          <w:bCs/>
          <w:color w:val="FF0000"/>
          <w:sz w:val="20"/>
          <w:szCs w:val="20"/>
        </w:rPr>
      </w:pPr>
      <w:r w:rsidRPr="00F0680F">
        <w:rPr>
          <w:rFonts w:ascii="Arial" w:hAnsi="Arial" w:cs="Arial"/>
          <w:b/>
          <w:bCs/>
          <w:noProof/>
          <w:sz w:val="20"/>
          <w:szCs w:val="20"/>
        </w:rPr>
        <mc:AlternateContent>
          <mc:Choice Requires="wpg">
            <w:drawing>
              <wp:anchor distT="0" distB="0" distL="114300" distR="114300" simplePos="0" relativeHeight="251658240" behindDoc="0" locked="0" layoutInCell="1" allowOverlap="1" wp14:anchorId="2F347F8E" wp14:editId="2FD5EAA4">
                <wp:simplePos x="0" y="0"/>
                <wp:positionH relativeFrom="page">
                  <wp:align>right</wp:align>
                </wp:positionH>
                <wp:positionV relativeFrom="page">
                  <wp:posOffset>152400</wp:posOffset>
                </wp:positionV>
                <wp:extent cx="3275050" cy="1929765"/>
                <wp:effectExtent l="0" t="0" r="0" b="0"/>
                <wp:wrapTopAndBottom/>
                <wp:docPr id="3093" name="Group 3093"/>
                <wp:cNvGraphicFramePr/>
                <a:graphic xmlns:a="http://schemas.openxmlformats.org/drawingml/2006/main">
                  <a:graphicData uri="http://schemas.microsoft.com/office/word/2010/wordprocessingGroup">
                    <wpg:wgp>
                      <wpg:cNvGrpSpPr/>
                      <wpg:grpSpPr>
                        <a:xfrm>
                          <a:off x="0" y="0"/>
                          <a:ext cx="3275050" cy="1929765"/>
                          <a:chOff x="84201" y="-341838"/>
                          <a:chExt cx="3275050" cy="1929765"/>
                        </a:xfrm>
                      </wpg:grpSpPr>
                      <wps:wsp>
                        <wps:cNvPr id="12" name="Shape 12"/>
                        <wps:cNvSpPr/>
                        <wps:spPr>
                          <a:xfrm>
                            <a:off x="152400" y="-341838"/>
                            <a:ext cx="2921635" cy="1929765"/>
                          </a:xfrm>
                          <a:custGeom>
                            <a:avLst/>
                            <a:gdLst/>
                            <a:ahLst/>
                            <a:cxnLst/>
                            <a:rect l="0" t="0" r="0" b="0"/>
                            <a:pathLst>
                              <a:path w="2921635" h="1929765">
                                <a:moveTo>
                                  <a:pt x="0" y="0"/>
                                </a:moveTo>
                                <a:lnTo>
                                  <a:pt x="2921635" y="0"/>
                                </a:lnTo>
                                <a:lnTo>
                                  <a:pt x="2921635" y="953135"/>
                                </a:lnTo>
                                <a:lnTo>
                                  <a:pt x="1939925" y="1929765"/>
                                </a:lnTo>
                                <a:lnTo>
                                  <a:pt x="0" y="0"/>
                                </a:lnTo>
                                <a:close/>
                              </a:path>
                            </a:pathLst>
                          </a:custGeom>
                          <a:ln w="0" cap="flat">
                            <a:miter lim="127000"/>
                          </a:ln>
                        </wps:spPr>
                        <wps:style>
                          <a:lnRef idx="0">
                            <a:srgbClr val="000000">
                              <a:alpha val="0"/>
                            </a:srgbClr>
                          </a:lnRef>
                          <a:fillRef idx="1">
                            <a:srgbClr val="EB1D22"/>
                          </a:fillRef>
                          <a:effectRef idx="0">
                            <a:scrgbClr r="0" g="0" b="0"/>
                          </a:effectRef>
                          <a:fontRef idx="none"/>
                        </wps:style>
                        <wps:bodyPr/>
                      </wps:wsp>
                      <wps:wsp>
                        <wps:cNvPr id="13" name="Rectangle 13"/>
                        <wps:cNvSpPr/>
                        <wps:spPr>
                          <a:xfrm>
                            <a:off x="1075182" y="0"/>
                            <a:ext cx="33951" cy="150334"/>
                          </a:xfrm>
                          <a:prstGeom prst="rect">
                            <a:avLst/>
                          </a:prstGeom>
                          <a:ln>
                            <a:noFill/>
                          </a:ln>
                        </wps:spPr>
                        <wps:txbx>
                          <w:txbxContent>
                            <w:p w14:paraId="6F65441B" w14:textId="77777777" w:rsidR="00806709" w:rsidRDefault="00FD653F">
                              <w:pPr>
                                <w:spacing w:after="160" w:line="259" w:lineRule="auto"/>
                                <w:ind w:left="0" w:right="0" w:firstLine="0"/>
                                <w:jc w:val="left"/>
                              </w:pPr>
                              <w:r>
                                <w:rPr>
                                  <w:rFonts w:ascii="Times New Roman" w:eastAsia="Times New Roman" w:hAnsi="Times New Roman" w:cs="Times New Roman"/>
                                  <w:b/>
                                  <w:sz w:val="16"/>
                                </w:rPr>
                                <w:t xml:space="preserve"> </w:t>
                              </w:r>
                            </w:p>
                          </w:txbxContent>
                        </wps:txbx>
                        <wps:bodyPr horzOverflow="overflow" vert="horz" lIns="0" tIns="0" rIns="0" bIns="0" rtlCol="0">
                          <a:noAutofit/>
                        </wps:bodyPr>
                      </wps:wsp>
                      <wps:wsp>
                        <wps:cNvPr id="14" name="Rectangle 14"/>
                        <wps:cNvSpPr/>
                        <wps:spPr>
                          <a:xfrm>
                            <a:off x="1341882" y="-271084"/>
                            <a:ext cx="1664053" cy="470083"/>
                          </a:xfrm>
                          <a:prstGeom prst="rect">
                            <a:avLst/>
                          </a:prstGeom>
                          <a:ln>
                            <a:noFill/>
                          </a:ln>
                        </wps:spPr>
                        <wps:txbx>
                          <w:txbxContent>
                            <w:p w14:paraId="6D2A6B5B" w14:textId="77777777" w:rsidR="00806709" w:rsidRDefault="00FD653F">
                              <w:pPr>
                                <w:spacing w:after="160" w:line="259" w:lineRule="auto"/>
                                <w:ind w:left="0" w:right="0" w:firstLine="0"/>
                                <w:jc w:val="left"/>
                              </w:pPr>
                              <w:r>
                                <w:rPr>
                                  <w:rFonts w:ascii="Arial" w:eastAsia="Arial" w:hAnsi="Arial" w:cs="Arial"/>
                                  <w:b/>
                                  <w:color w:val="FFFFFF"/>
                                  <w:sz w:val="50"/>
                                </w:rPr>
                                <w:t>Position</w:t>
                              </w:r>
                            </w:p>
                          </w:txbxContent>
                        </wps:txbx>
                        <wps:bodyPr horzOverflow="overflow" vert="horz" lIns="0" tIns="0" rIns="0" bIns="0" rtlCol="0">
                          <a:noAutofit/>
                        </wps:bodyPr>
                      </wps:wsp>
                      <wps:wsp>
                        <wps:cNvPr id="15" name="Rectangle 15"/>
                        <wps:cNvSpPr/>
                        <wps:spPr>
                          <a:xfrm>
                            <a:off x="2327910" y="122616"/>
                            <a:ext cx="117134" cy="470083"/>
                          </a:xfrm>
                          <a:prstGeom prst="rect">
                            <a:avLst/>
                          </a:prstGeom>
                          <a:ln>
                            <a:noFill/>
                          </a:ln>
                        </wps:spPr>
                        <wps:txbx>
                          <w:txbxContent>
                            <w:p w14:paraId="41325978" w14:textId="77777777" w:rsidR="00806709" w:rsidRDefault="00FD653F">
                              <w:pPr>
                                <w:spacing w:after="160" w:line="259" w:lineRule="auto"/>
                                <w:ind w:left="0" w:right="0" w:firstLine="0"/>
                                <w:jc w:val="left"/>
                              </w:pPr>
                              <w:r>
                                <w:rPr>
                                  <w:rFonts w:ascii="Arial" w:eastAsia="Arial" w:hAnsi="Arial" w:cs="Arial"/>
                                  <w:b/>
                                  <w:color w:val="FFFFFF"/>
                                  <w:sz w:val="50"/>
                                </w:rPr>
                                <w:t xml:space="preserve"> </w:t>
                              </w:r>
                            </w:p>
                          </w:txbxContent>
                        </wps:txbx>
                        <wps:bodyPr horzOverflow="overflow" vert="horz" lIns="0" tIns="0" rIns="0" bIns="0" rtlCol="0">
                          <a:noAutofit/>
                        </wps:bodyPr>
                      </wps:wsp>
                      <wps:wsp>
                        <wps:cNvPr id="16" name="Rectangle 16"/>
                        <wps:cNvSpPr/>
                        <wps:spPr>
                          <a:xfrm>
                            <a:off x="1037082" y="142348"/>
                            <a:ext cx="2322169" cy="470083"/>
                          </a:xfrm>
                          <a:prstGeom prst="rect">
                            <a:avLst/>
                          </a:prstGeom>
                          <a:ln>
                            <a:noFill/>
                          </a:ln>
                        </wps:spPr>
                        <wps:txbx>
                          <w:txbxContent>
                            <w:p w14:paraId="4A516B56" w14:textId="77777777" w:rsidR="00806709" w:rsidRDefault="00FD653F">
                              <w:pPr>
                                <w:spacing w:after="160" w:line="259" w:lineRule="auto"/>
                                <w:ind w:left="0" w:right="0" w:firstLine="0"/>
                                <w:jc w:val="left"/>
                              </w:pPr>
                              <w:r>
                                <w:rPr>
                                  <w:rFonts w:ascii="Arial" w:eastAsia="Arial" w:hAnsi="Arial" w:cs="Arial"/>
                                  <w:b/>
                                  <w:color w:val="FFFFFF"/>
                                  <w:sz w:val="50"/>
                                </w:rPr>
                                <w:t>Description</w:t>
                              </w:r>
                            </w:p>
                          </w:txbxContent>
                        </wps:txbx>
                        <wps:bodyPr horzOverflow="overflow" vert="horz" lIns="0" tIns="0" rIns="0" bIns="0" rtlCol="0">
                          <a:noAutofit/>
                        </wps:bodyPr>
                      </wps:wsp>
                      <wps:wsp>
                        <wps:cNvPr id="17" name="Rectangle 17"/>
                        <wps:cNvSpPr/>
                        <wps:spPr>
                          <a:xfrm>
                            <a:off x="2821940" y="488376"/>
                            <a:ext cx="117134" cy="470083"/>
                          </a:xfrm>
                          <a:prstGeom prst="rect">
                            <a:avLst/>
                          </a:prstGeom>
                          <a:ln>
                            <a:noFill/>
                          </a:ln>
                        </wps:spPr>
                        <wps:txbx>
                          <w:txbxContent>
                            <w:p w14:paraId="0EBD1651" w14:textId="77777777" w:rsidR="00806709" w:rsidRDefault="00FD653F">
                              <w:pPr>
                                <w:spacing w:after="160" w:line="259" w:lineRule="auto"/>
                                <w:ind w:left="0" w:right="0" w:firstLine="0"/>
                                <w:jc w:val="left"/>
                              </w:pPr>
                              <w:r>
                                <w:rPr>
                                  <w:rFonts w:ascii="Arial" w:eastAsia="Arial" w:hAnsi="Arial" w:cs="Arial"/>
                                  <w:b/>
                                  <w:color w:val="FFFFFF"/>
                                  <w:sz w:val="50"/>
                                </w:rPr>
                                <w:t xml:space="preserve"> </w:t>
                              </w:r>
                            </w:p>
                          </w:txbxContent>
                        </wps:txbx>
                        <wps:bodyPr horzOverflow="overflow" vert="horz" lIns="0" tIns="0" rIns="0" bIns="0" rtlCol="0">
                          <a:noAutofit/>
                        </wps:bodyPr>
                      </wps:wsp>
                      <wps:wsp>
                        <wps:cNvPr id="18" name="Rectangle 18"/>
                        <wps:cNvSpPr/>
                        <wps:spPr>
                          <a:xfrm>
                            <a:off x="84201" y="848449"/>
                            <a:ext cx="46619" cy="206429"/>
                          </a:xfrm>
                          <a:prstGeom prst="rect">
                            <a:avLst/>
                          </a:prstGeom>
                          <a:ln>
                            <a:noFill/>
                          </a:ln>
                        </wps:spPr>
                        <wps:txbx>
                          <w:txbxContent>
                            <w:p w14:paraId="3768A234" w14:textId="77777777" w:rsidR="00806709" w:rsidRDefault="00FD653F">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347F8E" id="Group 3093" o:spid="_x0000_s1026" style="position:absolute;left:0;text-align:left;margin-left:206.7pt;margin-top:12pt;width:257.9pt;height:151.95pt;z-index:251658240;mso-position-horizontal:right;mso-position-horizontal-relative:page;mso-position-vertical-relative:page;mso-width-relative:margin;mso-height-relative:margin" coordorigin="842,-3418" coordsize="32750,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">
                <v:shape id="Shape 12" o:spid="_x0000_s1027" style="position:absolute;left:1524;top:-3418;width:29216;height:19297;visibility:visible;mso-wrap-style:square;v-text-anchor:top" coordsize="2921635,192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" path="m,l2921635,r,953135l1939925,1929765,,xe" fillcolor="#eb1d22" stroked="f" strokeweight="0">
                  <v:stroke miterlimit="83231f" joinstyle="miter"/>
                  <v:path arrowok="t" textboxrect="0,0,2921635,1929765"/>
                </v:shape>
                <v:rect id="Rectangle 13" o:spid="_x0000_s1028" style="position:absolute;left:10751;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65441B" w14:textId="77777777" w:rsidR="00806709" w:rsidRDefault="00FD653F">
                        <w:pPr>
                          <w:spacing w:after="160" w:line="259" w:lineRule="auto"/>
                          <w:ind w:left="0" w:right="0" w:firstLine="0"/>
                          <w:jc w:val="left"/>
                        </w:pPr>
                        <w:r>
                          <w:rPr>
                            <w:rFonts w:ascii="Times New Roman" w:eastAsia="Times New Roman" w:hAnsi="Times New Roman" w:cs="Times New Roman"/>
                            <w:b/>
                            <w:sz w:val="16"/>
                          </w:rPr>
                          <w:t xml:space="preserve"> </w:t>
                        </w:r>
                      </w:p>
                    </w:txbxContent>
                  </v:textbox>
                </v:rect>
                <v:rect id="Rectangle 14" o:spid="_x0000_s1029" style="position:absolute;left:13418;top:-2710;width:1664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D2A6B5B" w14:textId="77777777" w:rsidR="00806709" w:rsidRDefault="00FD653F">
                        <w:pPr>
                          <w:spacing w:after="160" w:line="259" w:lineRule="auto"/>
                          <w:ind w:left="0" w:right="0" w:firstLine="0"/>
                          <w:jc w:val="left"/>
                        </w:pPr>
                        <w:r>
                          <w:rPr>
                            <w:rFonts w:ascii="Arial" w:eastAsia="Arial" w:hAnsi="Arial" w:cs="Arial"/>
                            <w:b/>
                            <w:color w:val="FFFFFF"/>
                            <w:sz w:val="50"/>
                          </w:rPr>
                          <w:t>Position</w:t>
                        </w:r>
                      </w:p>
                    </w:txbxContent>
                  </v:textbox>
                </v:rect>
                <v:rect id="Rectangle 15" o:spid="_x0000_s1030" style="position:absolute;left:23279;top:1226;width:1171;height: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1325978" w14:textId="77777777" w:rsidR="00806709" w:rsidRDefault="00FD653F">
                        <w:pPr>
                          <w:spacing w:after="160" w:line="259" w:lineRule="auto"/>
                          <w:ind w:left="0" w:right="0" w:firstLine="0"/>
                          <w:jc w:val="left"/>
                        </w:pPr>
                        <w:r>
                          <w:rPr>
                            <w:rFonts w:ascii="Arial" w:eastAsia="Arial" w:hAnsi="Arial" w:cs="Arial"/>
                            <w:b/>
                            <w:color w:val="FFFFFF"/>
                            <w:sz w:val="50"/>
                          </w:rPr>
                          <w:t xml:space="preserve"> </w:t>
                        </w:r>
                      </w:p>
                    </w:txbxContent>
                  </v:textbox>
                </v:rect>
                <v:rect id="Rectangle 16" o:spid="_x0000_s1031" style="position:absolute;left:10370;top:1423;width:23222;height:4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A516B56" w14:textId="77777777" w:rsidR="00806709" w:rsidRDefault="00FD653F">
                        <w:pPr>
                          <w:spacing w:after="160" w:line="259" w:lineRule="auto"/>
                          <w:ind w:left="0" w:right="0" w:firstLine="0"/>
                          <w:jc w:val="left"/>
                        </w:pPr>
                        <w:r>
                          <w:rPr>
                            <w:rFonts w:ascii="Arial" w:eastAsia="Arial" w:hAnsi="Arial" w:cs="Arial"/>
                            <w:b/>
                            <w:color w:val="FFFFFF"/>
                            <w:sz w:val="50"/>
                          </w:rPr>
                          <w:t>Description</w:t>
                        </w:r>
                      </w:p>
                    </w:txbxContent>
                  </v:textbox>
                </v:rect>
                <v:rect id="Rectangle 17" o:spid="_x0000_s1032" style="position:absolute;left:28219;top:4883;width:1171;height:4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EBD1651" w14:textId="77777777" w:rsidR="00806709" w:rsidRDefault="00FD653F">
                        <w:pPr>
                          <w:spacing w:after="160" w:line="259" w:lineRule="auto"/>
                          <w:ind w:left="0" w:right="0" w:firstLine="0"/>
                          <w:jc w:val="left"/>
                        </w:pPr>
                        <w:r>
                          <w:rPr>
                            <w:rFonts w:ascii="Arial" w:eastAsia="Arial" w:hAnsi="Arial" w:cs="Arial"/>
                            <w:b/>
                            <w:color w:val="FFFFFF"/>
                            <w:sz w:val="50"/>
                          </w:rPr>
                          <w:t xml:space="preserve"> </w:t>
                        </w:r>
                      </w:p>
                    </w:txbxContent>
                  </v:textbox>
                </v:rect>
                <v:rect id="Rectangle 18" o:spid="_x0000_s1033" style="position:absolute;left:842;top:848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768A234" w14:textId="77777777" w:rsidR="00806709" w:rsidRDefault="00FD653F">
                        <w:pPr>
                          <w:spacing w:after="160" w:line="259" w:lineRule="auto"/>
                          <w:ind w:left="0" w:right="0" w:firstLine="0"/>
                          <w:jc w:val="left"/>
                        </w:pPr>
                        <w:r>
                          <w:rPr>
                            <w:rFonts w:ascii="Times New Roman" w:eastAsia="Times New Roman" w:hAnsi="Times New Roman" w:cs="Times New Roman"/>
                          </w:rPr>
                          <w:t xml:space="preserve"> </w:t>
                        </w:r>
                      </w:p>
                    </w:txbxContent>
                  </v:textbox>
                </v:rect>
                <w10:wrap type="topAndBottom" anchorx="page" anchory="page"/>
              </v:group>
            </w:pict>
          </mc:Fallback>
        </mc:AlternateContent>
      </w:r>
      <w:r w:rsidRPr="00F0680F">
        <w:rPr>
          <w:rFonts w:ascii="Arial" w:eastAsia="Times New Roman" w:hAnsi="Arial" w:cs="Arial"/>
          <w:b/>
          <w:bCs/>
          <w:sz w:val="20"/>
          <w:szCs w:val="20"/>
        </w:rPr>
        <w:t xml:space="preserve"> </w:t>
      </w:r>
    </w:p>
    <w:tbl>
      <w:tblPr>
        <w:tblStyle w:val="TableGrid1"/>
        <w:tblW w:w="9071" w:type="dxa"/>
        <w:tblInd w:w="-22" w:type="dxa"/>
        <w:tblCellMar>
          <w:top w:w="10" w:type="dxa"/>
          <w:left w:w="106" w:type="dxa"/>
          <w:right w:w="115" w:type="dxa"/>
        </w:tblCellMar>
        <w:tblLook w:val="04A0" w:firstRow="1" w:lastRow="0" w:firstColumn="1" w:lastColumn="0" w:noHBand="0" w:noVBand="1"/>
      </w:tblPr>
      <w:tblGrid>
        <w:gridCol w:w="2872"/>
        <w:gridCol w:w="6199"/>
      </w:tblGrid>
      <w:tr w:rsidR="00806709" w:rsidRPr="00F0680F" w14:paraId="21859A07" w14:textId="77777777" w:rsidTr="739D65DF">
        <w:trPr>
          <w:trHeight w:val="469"/>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7EC947"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Position Title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C7E49" w14:textId="29FCD725" w:rsidR="00806709" w:rsidRPr="00112A9D" w:rsidRDefault="004C7FB2">
            <w:pPr>
              <w:spacing w:after="0" w:line="259" w:lineRule="auto"/>
              <w:ind w:left="4" w:right="0" w:firstLine="0"/>
              <w:jc w:val="left"/>
              <w:rPr>
                <w:rFonts w:ascii="Arial" w:hAnsi="Arial" w:cs="Arial"/>
                <w:sz w:val="20"/>
                <w:szCs w:val="20"/>
              </w:rPr>
            </w:pPr>
            <w:r w:rsidRPr="00112A9D">
              <w:rPr>
                <w:rFonts w:ascii="Arial" w:eastAsia="Arial" w:hAnsi="Arial" w:cs="Arial"/>
                <w:sz w:val="20"/>
                <w:szCs w:val="20"/>
              </w:rPr>
              <w:t>Senior Specialist (Biosafety and Biosecurity)</w:t>
            </w:r>
            <w:r w:rsidRPr="00112A9D">
              <w:rPr>
                <w:rFonts w:ascii="Arial" w:hAnsi="Arial" w:cs="Arial"/>
                <w:sz w:val="20"/>
                <w:szCs w:val="20"/>
              </w:rPr>
              <w:t xml:space="preserve"> </w:t>
            </w:r>
          </w:p>
        </w:tc>
      </w:tr>
      <w:tr w:rsidR="00806709" w:rsidRPr="00F0680F" w14:paraId="4BD9578E" w14:textId="77777777" w:rsidTr="739D65DF">
        <w:trPr>
          <w:trHeight w:val="405"/>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72BA6A"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Group/Portfolio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2D01" w14:textId="31A3D6A8" w:rsidR="00806709" w:rsidRPr="00F0680F" w:rsidRDefault="00FD653F">
            <w:pPr>
              <w:spacing w:after="0" w:line="259" w:lineRule="auto"/>
              <w:ind w:left="4" w:right="0" w:firstLine="0"/>
              <w:jc w:val="left"/>
              <w:rPr>
                <w:rFonts w:ascii="Arial" w:hAnsi="Arial" w:cs="Arial"/>
                <w:sz w:val="20"/>
                <w:szCs w:val="20"/>
              </w:rPr>
            </w:pPr>
            <w:r w:rsidRPr="00F0680F">
              <w:rPr>
                <w:rFonts w:ascii="Arial" w:hAnsi="Arial" w:cs="Arial"/>
                <w:sz w:val="20"/>
                <w:szCs w:val="20"/>
              </w:rPr>
              <w:t>H</w:t>
            </w:r>
            <w:r w:rsidR="00C27DDF" w:rsidRPr="00F0680F">
              <w:rPr>
                <w:rFonts w:ascii="Arial" w:hAnsi="Arial" w:cs="Arial"/>
                <w:sz w:val="20"/>
                <w:szCs w:val="20"/>
              </w:rPr>
              <w:t xml:space="preserve">ealth </w:t>
            </w:r>
            <w:r w:rsidRPr="00F0680F">
              <w:rPr>
                <w:rFonts w:ascii="Arial" w:hAnsi="Arial" w:cs="Arial"/>
                <w:sz w:val="20"/>
                <w:szCs w:val="20"/>
              </w:rPr>
              <w:t xml:space="preserve">and Safety </w:t>
            </w:r>
          </w:p>
        </w:tc>
      </w:tr>
      <w:tr w:rsidR="00806709" w:rsidRPr="00F0680F" w14:paraId="4C69B53B" w14:textId="77777777" w:rsidTr="739D65DF">
        <w:trPr>
          <w:trHeight w:val="470"/>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00B468"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Classification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5E11B" w14:textId="65E8F66D" w:rsidR="00806709" w:rsidRPr="00F0680F" w:rsidRDefault="6573E628">
            <w:pPr>
              <w:spacing w:after="0" w:line="259" w:lineRule="auto"/>
              <w:ind w:left="4" w:right="0" w:firstLine="0"/>
              <w:jc w:val="left"/>
              <w:rPr>
                <w:rFonts w:ascii="Arial" w:hAnsi="Arial" w:cs="Arial"/>
                <w:sz w:val="20"/>
                <w:szCs w:val="20"/>
              </w:rPr>
            </w:pPr>
            <w:r w:rsidRPr="739D65DF">
              <w:rPr>
                <w:rFonts w:ascii="Arial" w:hAnsi="Arial" w:cs="Arial"/>
                <w:sz w:val="20"/>
                <w:szCs w:val="20"/>
              </w:rPr>
              <w:t>HEW 8</w:t>
            </w:r>
          </w:p>
        </w:tc>
      </w:tr>
      <w:tr w:rsidR="00806709" w:rsidRPr="00F0680F" w14:paraId="52553505" w14:textId="77777777" w:rsidTr="739D65DF">
        <w:trPr>
          <w:trHeight w:val="470"/>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5A6BFB"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Position Number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D43F7" w14:textId="37208A43" w:rsidR="00806709" w:rsidRPr="00F0680F" w:rsidRDefault="005B60AC">
            <w:pPr>
              <w:spacing w:after="0" w:line="259" w:lineRule="auto"/>
              <w:ind w:left="4" w:right="0" w:firstLine="0"/>
              <w:jc w:val="left"/>
              <w:rPr>
                <w:rFonts w:ascii="Arial" w:hAnsi="Arial" w:cs="Arial"/>
                <w:sz w:val="20"/>
                <w:szCs w:val="20"/>
              </w:rPr>
            </w:pPr>
            <w:r>
              <w:rPr>
                <w:rFonts w:ascii="Arial" w:hAnsi="Arial" w:cs="Arial"/>
                <w:sz w:val="20"/>
                <w:szCs w:val="20"/>
              </w:rPr>
              <w:t>000</w:t>
            </w:r>
            <w:r w:rsidR="00317529">
              <w:rPr>
                <w:rFonts w:ascii="Arial" w:hAnsi="Arial" w:cs="Arial"/>
                <w:sz w:val="20"/>
                <w:szCs w:val="20"/>
              </w:rPr>
              <w:t>50842</w:t>
            </w:r>
          </w:p>
        </w:tc>
      </w:tr>
      <w:tr w:rsidR="00806709" w:rsidRPr="00F0680F" w14:paraId="430933AB" w14:textId="77777777" w:rsidTr="739D65DF">
        <w:trPr>
          <w:trHeight w:val="470"/>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DFD5F0"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Reports To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18DB" w14:textId="16C3C519" w:rsidR="00806709" w:rsidRPr="00112A9D" w:rsidRDefault="00112A9D">
            <w:pPr>
              <w:spacing w:after="0" w:line="259" w:lineRule="auto"/>
              <w:ind w:left="4" w:right="0" w:firstLine="0"/>
              <w:jc w:val="left"/>
              <w:rPr>
                <w:rFonts w:ascii="Arial" w:hAnsi="Arial" w:cs="Arial"/>
                <w:sz w:val="20"/>
                <w:szCs w:val="20"/>
              </w:rPr>
            </w:pPr>
            <w:r w:rsidRPr="00112A9D">
              <w:rPr>
                <w:rFonts w:ascii="Arial" w:eastAsia="Times New Roman" w:hAnsi="Arial" w:cs="Arial"/>
                <w:sz w:val="20"/>
                <w:szCs w:val="20"/>
              </w:rPr>
              <w:t>Senior Health and Safety Manager, Science &amp; DVCR</w:t>
            </w:r>
          </w:p>
        </w:tc>
      </w:tr>
      <w:tr w:rsidR="00806709" w:rsidRPr="00F0680F" w14:paraId="7B324B6D" w14:textId="77777777" w:rsidTr="739D65DF">
        <w:trPr>
          <w:trHeight w:val="468"/>
        </w:trPr>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10041B" w14:textId="77777777" w:rsidR="00806709" w:rsidRPr="00F0680F" w:rsidRDefault="00FD653F">
            <w:pPr>
              <w:spacing w:after="0" w:line="259" w:lineRule="auto"/>
              <w:ind w:left="0" w:right="0" w:firstLine="0"/>
              <w:jc w:val="left"/>
              <w:rPr>
                <w:rFonts w:ascii="Arial" w:hAnsi="Arial" w:cs="Arial"/>
                <w:sz w:val="20"/>
                <w:szCs w:val="20"/>
              </w:rPr>
            </w:pPr>
            <w:r w:rsidRPr="00F0680F">
              <w:rPr>
                <w:rFonts w:ascii="Arial" w:hAnsi="Arial" w:cs="Arial"/>
                <w:b/>
                <w:sz w:val="20"/>
                <w:szCs w:val="20"/>
              </w:rPr>
              <w:t xml:space="preserve">Employment Type </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A699C" w14:textId="77777777" w:rsidR="00806709" w:rsidRPr="00F0680F" w:rsidRDefault="00FD653F">
            <w:pPr>
              <w:spacing w:after="0" w:line="259" w:lineRule="auto"/>
              <w:ind w:left="4" w:right="0" w:firstLine="0"/>
              <w:jc w:val="left"/>
              <w:rPr>
                <w:rFonts w:ascii="Arial" w:hAnsi="Arial" w:cs="Arial"/>
                <w:sz w:val="20"/>
                <w:szCs w:val="20"/>
              </w:rPr>
            </w:pPr>
            <w:r w:rsidRPr="00F0680F">
              <w:rPr>
                <w:rFonts w:ascii="Arial" w:hAnsi="Arial" w:cs="Arial"/>
                <w:sz w:val="20"/>
                <w:szCs w:val="20"/>
              </w:rPr>
              <w:t xml:space="preserve">Continuing </w:t>
            </w:r>
          </w:p>
        </w:tc>
      </w:tr>
    </w:tbl>
    <w:p w14:paraId="538498EC" w14:textId="77777777" w:rsidR="00806709" w:rsidRPr="00F0680F" w:rsidRDefault="00FD653F">
      <w:pPr>
        <w:spacing w:after="206" w:line="259" w:lineRule="auto"/>
        <w:ind w:left="0" w:right="0" w:firstLine="0"/>
        <w:jc w:val="left"/>
        <w:rPr>
          <w:rFonts w:ascii="Arial" w:hAnsi="Arial" w:cs="Arial"/>
          <w:sz w:val="20"/>
          <w:szCs w:val="20"/>
        </w:rPr>
      </w:pPr>
      <w:r w:rsidRPr="00F0680F">
        <w:rPr>
          <w:rFonts w:ascii="Arial" w:eastAsia="Arial" w:hAnsi="Arial" w:cs="Arial"/>
          <w:sz w:val="20"/>
          <w:szCs w:val="20"/>
        </w:rPr>
        <w:t xml:space="preserve"> </w:t>
      </w:r>
    </w:p>
    <w:p w14:paraId="20EB672F" w14:textId="369E0A8F" w:rsidR="00806709" w:rsidRPr="00F0680F" w:rsidRDefault="00FD653F" w:rsidP="00F0680F">
      <w:pPr>
        <w:pStyle w:val="ListParagraph"/>
        <w:numPr>
          <w:ilvl w:val="0"/>
          <w:numId w:val="3"/>
        </w:numPr>
        <w:tabs>
          <w:tab w:val="center" w:pos="1615"/>
        </w:tabs>
        <w:spacing w:after="19" w:line="259" w:lineRule="auto"/>
        <w:ind w:right="0"/>
        <w:jc w:val="left"/>
        <w:rPr>
          <w:rFonts w:ascii="Arial" w:hAnsi="Arial" w:cs="Arial"/>
          <w:color w:val="E20917"/>
          <w:sz w:val="24"/>
          <w:szCs w:val="24"/>
        </w:rPr>
      </w:pPr>
      <w:r w:rsidRPr="00F0680F">
        <w:rPr>
          <w:rFonts w:ascii="Arial" w:hAnsi="Arial" w:cs="Arial"/>
          <w:color w:val="E20917"/>
          <w:sz w:val="24"/>
          <w:szCs w:val="24"/>
        </w:rPr>
        <w:t xml:space="preserve">Position Purpose </w:t>
      </w:r>
    </w:p>
    <w:p w14:paraId="7373A56C" w14:textId="77777777" w:rsidR="00F0680F" w:rsidRPr="00F0680F" w:rsidRDefault="00F0680F" w:rsidP="00F0680F">
      <w:pPr>
        <w:pStyle w:val="ListParagraph"/>
        <w:tabs>
          <w:tab w:val="center" w:pos="1615"/>
        </w:tabs>
        <w:spacing w:after="19" w:line="259" w:lineRule="auto"/>
        <w:ind w:right="0" w:firstLine="0"/>
        <w:jc w:val="left"/>
        <w:rPr>
          <w:rFonts w:ascii="Arial" w:hAnsi="Arial" w:cs="Arial"/>
          <w:sz w:val="28"/>
          <w:szCs w:val="28"/>
        </w:rPr>
      </w:pPr>
    </w:p>
    <w:p w14:paraId="01E23A90" w14:textId="6E530B0C" w:rsidR="00806709" w:rsidRPr="00F0680F" w:rsidRDefault="00FD653F" w:rsidP="00F0680F">
      <w:pPr>
        <w:spacing w:after="15"/>
        <w:ind w:left="709" w:right="0" w:firstLine="0"/>
        <w:rPr>
          <w:rFonts w:ascii="Arial" w:hAnsi="Arial" w:cs="Arial"/>
          <w:sz w:val="20"/>
          <w:szCs w:val="20"/>
        </w:rPr>
      </w:pPr>
      <w:r w:rsidRPr="00F0680F">
        <w:rPr>
          <w:rFonts w:ascii="Arial" w:hAnsi="Arial" w:cs="Arial"/>
          <w:sz w:val="20"/>
          <w:szCs w:val="20"/>
        </w:rPr>
        <w:t xml:space="preserve">The </w:t>
      </w:r>
      <w:r w:rsidR="004C7FB2" w:rsidRPr="00F0680F">
        <w:rPr>
          <w:rFonts w:ascii="Arial" w:hAnsi="Arial" w:cs="Arial"/>
          <w:sz w:val="20"/>
          <w:szCs w:val="20"/>
        </w:rPr>
        <w:t>Senior</w:t>
      </w:r>
      <w:r w:rsidRPr="00F0680F">
        <w:rPr>
          <w:rFonts w:ascii="Arial" w:hAnsi="Arial" w:cs="Arial"/>
          <w:sz w:val="20"/>
          <w:szCs w:val="20"/>
        </w:rPr>
        <w:t xml:space="preserve"> Specialist (Biosafety and Biosecurity) is responsible for providing strategic advice and guidance, enabling consultation, </w:t>
      </w:r>
      <w:r w:rsidR="00A6101C" w:rsidRPr="00F0680F">
        <w:rPr>
          <w:rFonts w:ascii="Arial" w:hAnsi="Arial" w:cs="Arial"/>
          <w:sz w:val="20"/>
          <w:szCs w:val="20"/>
        </w:rPr>
        <w:t>liaising,</w:t>
      </w:r>
      <w:r w:rsidRPr="00F0680F">
        <w:rPr>
          <w:rFonts w:ascii="Arial" w:hAnsi="Arial" w:cs="Arial"/>
          <w:sz w:val="20"/>
          <w:szCs w:val="20"/>
        </w:rPr>
        <w:t xml:space="preserve"> and working with relevant internal and external stakeholders</w:t>
      </w:r>
      <w:r w:rsidR="004C7FB2" w:rsidRPr="00F0680F">
        <w:rPr>
          <w:rFonts w:ascii="Arial" w:hAnsi="Arial" w:cs="Arial"/>
          <w:sz w:val="20"/>
          <w:szCs w:val="20"/>
        </w:rPr>
        <w:t xml:space="preserve"> including regulators</w:t>
      </w:r>
      <w:r w:rsidRPr="00F0680F">
        <w:rPr>
          <w:rFonts w:ascii="Arial" w:hAnsi="Arial" w:cs="Arial"/>
          <w:sz w:val="20"/>
          <w:szCs w:val="20"/>
        </w:rPr>
        <w:t xml:space="preserve"> to ensure the University meets all legislative requirements for health and safety.</w:t>
      </w:r>
      <w:r w:rsidRPr="00F0680F">
        <w:rPr>
          <w:rFonts w:ascii="Arial" w:eastAsia="Times New Roman" w:hAnsi="Arial" w:cs="Arial"/>
          <w:sz w:val="20"/>
          <w:szCs w:val="20"/>
        </w:rPr>
        <w:t xml:space="preserve"> </w:t>
      </w:r>
    </w:p>
    <w:p w14:paraId="5EED5A89" w14:textId="2FA50E55" w:rsidR="00806709" w:rsidRPr="00F0680F" w:rsidRDefault="00FD653F" w:rsidP="00F0680F">
      <w:pPr>
        <w:spacing w:after="16" w:line="259" w:lineRule="auto"/>
        <w:ind w:left="709" w:right="0" w:firstLine="0"/>
        <w:jc w:val="left"/>
        <w:rPr>
          <w:rFonts w:ascii="Arial" w:hAnsi="Arial" w:cs="Arial"/>
          <w:sz w:val="20"/>
          <w:szCs w:val="20"/>
        </w:rPr>
      </w:pPr>
      <w:r w:rsidRPr="00F0680F">
        <w:rPr>
          <w:rFonts w:ascii="Arial" w:hAnsi="Arial" w:cs="Arial"/>
          <w:sz w:val="20"/>
          <w:szCs w:val="20"/>
        </w:rPr>
        <w:t xml:space="preserve"> </w:t>
      </w:r>
    </w:p>
    <w:p w14:paraId="52B72AC3" w14:textId="0536A59C" w:rsidR="00806709" w:rsidRDefault="00FD653F" w:rsidP="00F0680F">
      <w:pPr>
        <w:spacing w:after="209"/>
        <w:ind w:left="709" w:right="0" w:firstLine="0"/>
        <w:rPr>
          <w:rFonts w:ascii="Arial" w:hAnsi="Arial" w:cs="Arial"/>
          <w:sz w:val="20"/>
          <w:szCs w:val="20"/>
        </w:rPr>
      </w:pPr>
      <w:r w:rsidRPr="03A50DAA">
        <w:rPr>
          <w:rFonts w:ascii="Arial" w:hAnsi="Arial" w:cs="Arial"/>
          <w:sz w:val="20"/>
          <w:szCs w:val="20"/>
        </w:rPr>
        <w:t xml:space="preserve">This position provides expertise and strategic guidance to managers in preventing and responding to complex health and safety issues in relation to biosafety and biosecurity.  The position has a high level of focus on delivering quality customer service to clients, providing advice to their customers, </w:t>
      </w:r>
      <w:r w:rsidR="00A6101C" w:rsidRPr="03A50DAA">
        <w:rPr>
          <w:rFonts w:ascii="Arial" w:hAnsi="Arial" w:cs="Arial"/>
          <w:sz w:val="20"/>
          <w:szCs w:val="20"/>
        </w:rPr>
        <w:t>negotiating,</w:t>
      </w:r>
      <w:r w:rsidRPr="03A50DAA">
        <w:rPr>
          <w:rFonts w:ascii="Arial" w:hAnsi="Arial" w:cs="Arial"/>
          <w:sz w:val="20"/>
          <w:szCs w:val="20"/>
        </w:rPr>
        <w:t xml:space="preserve"> and influencing services and solutions. They will work collaboratively across the Business Partners and the respective client area to help solve complex strategic and operational Safety problems for their customers. </w:t>
      </w:r>
    </w:p>
    <w:p w14:paraId="6ED8D757" w14:textId="2F3161E1" w:rsidR="00FE550A" w:rsidRDefault="00FE550A" w:rsidP="00FE550A">
      <w:pPr>
        <w:widowControl w:val="0"/>
        <w:tabs>
          <w:tab w:val="left" w:pos="862"/>
        </w:tabs>
        <w:autoSpaceDE w:val="0"/>
        <w:autoSpaceDN w:val="0"/>
        <w:spacing w:before="187" w:after="0" w:line="240" w:lineRule="auto"/>
        <w:ind w:left="709" w:right="850" w:firstLine="0"/>
        <w:jc w:val="left"/>
        <w:outlineLvl w:val="1"/>
        <w:rPr>
          <w:rFonts w:ascii="Arial" w:eastAsia="Malgun Gothic" w:hAnsi="Arial" w:cs="Arial"/>
          <w:color w:val="auto"/>
          <w:sz w:val="20"/>
          <w:szCs w:val="20"/>
        </w:rPr>
      </w:pPr>
      <w:r>
        <w:rPr>
          <w:rFonts w:ascii="Arial" w:eastAsia="Malgun Gothic" w:hAnsi="Arial" w:cs="Arial"/>
          <w:color w:val="auto"/>
          <w:sz w:val="20"/>
          <w:szCs w:val="20"/>
        </w:rPr>
        <w:t xml:space="preserve">The </w:t>
      </w:r>
      <w:r>
        <w:rPr>
          <w:rFonts w:ascii="Arial" w:eastAsia="Malgun Gothic" w:hAnsi="Arial" w:cs="Arial"/>
          <w:b/>
          <w:bCs/>
          <w:color w:val="auto"/>
          <w:sz w:val="20"/>
          <w:szCs w:val="20"/>
        </w:rPr>
        <w:t>Senior Specialist Biosafety and Biosecurity</w:t>
      </w:r>
      <w:r>
        <w:rPr>
          <w:rFonts w:ascii="Arial" w:eastAsia="Malgun Gothic" w:hAnsi="Arial" w:cs="Arial"/>
          <w:color w:val="auto"/>
          <w:sz w:val="20"/>
          <w:szCs w:val="20"/>
        </w:rPr>
        <w:t xml:space="preserve"> will work closely with the </w:t>
      </w:r>
      <w:r>
        <w:rPr>
          <w:rFonts w:ascii="Arial" w:eastAsia="Malgun Gothic" w:hAnsi="Arial" w:cs="Arial"/>
          <w:b/>
          <w:bCs/>
          <w:color w:val="auto"/>
          <w:sz w:val="20"/>
          <w:szCs w:val="20"/>
        </w:rPr>
        <w:t xml:space="preserve">Senior Specialist Chemical </w:t>
      </w:r>
      <w:r w:rsidR="0072585C">
        <w:rPr>
          <w:rFonts w:ascii="Arial" w:eastAsia="Malgun Gothic" w:hAnsi="Arial" w:cs="Arial"/>
          <w:b/>
          <w:bCs/>
          <w:color w:val="auto"/>
          <w:sz w:val="20"/>
          <w:szCs w:val="20"/>
        </w:rPr>
        <w:t>/</w:t>
      </w:r>
      <w:r>
        <w:rPr>
          <w:rFonts w:ascii="Arial" w:eastAsia="Malgun Gothic" w:hAnsi="Arial" w:cs="Arial"/>
          <w:b/>
          <w:bCs/>
          <w:color w:val="auto"/>
          <w:sz w:val="20"/>
          <w:szCs w:val="20"/>
        </w:rPr>
        <w:t xml:space="preserve"> Radiation Safety</w:t>
      </w:r>
      <w:r>
        <w:rPr>
          <w:rFonts w:ascii="Arial" w:eastAsia="Malgun Gothic" w:hAnsi="Arial" w:cs="Arial"/>
          <w:color w:val="auto"/>
          <w:sz w:val="20"/>
          <w:szCs w:val="20"/>
        </w:rPr>
        <w:t xml:space="preserve"> and </w:t>
      </w:r>
      <w:r>
        <w:rPr>
          <w:rFonts w:ascii="Arial" w:eastAsia="Malgun Gothic" w:hAnsi="Arial" w:cs="Arial"/>
          <w:b/>
          <w:bCs/>
          <w:color w:val="auto"/>
          <w:sz w:val="20"/>
          <w:szCs w:val="20"/>
        </w:rPr>
        <w:t>Senior Specialist Occupational Hygiene and Health</w:t>
      </w:r>
      <w:r w:rsidR="0072585C">
        <w:rPr>
          <w:rFonts w:ascii="Arial" w:eastAsia="Malgun Gothic" w:hAnsi="Arial" w:cs="Arial"/>
          <w:b/>
          <w:bCs/>
          <w:color w:val="auto"/>
          <w:sz w:val="20"/>
          <w:szCs w:val="20"/>
        </w:rPr>
        <w:t>/biosafety/biosafety</w:t>
      </w:r>
      <w:r>
        <w:rPr>
          <w:rFonts w:ascii="Arial" w:eastAsia="Malgun Gothic" w:hAnsi="Arial" w:cs="Arial"/>
          <w:color w:val="auto"/>
          <w:sz w:val="20"/>
          <w:szCs w:val="20"/>
        </w:rPr>
        <w:t xml:space="preserve"> to ensure that biological, radiation, chemical and occupational hygiene and health support services are maintained at all times.</w:t>
      </w:r>
    </w:p>
    <w:p w14:paraId="1C7BFFAE" w14:textId="77777777" w:rsidR="00FE550A" w:rsidRPr="00F0680F" w:rsidRDefault="00FE550A" w:rsidP="00F0680F">
      <w:pPr>
        <w:spacing w:after="209"/>
        <w:ind w:left="709" w:right="0" w:firstLine="0"/>
        <w:rPr>
          <w:rFonts w:ascii="Arial" w:hAnsi="Arial" w:cs="Arial"/>
          <w:sz w:val="20"/>
          <w:szCs w:val="20"/>
        </w:rPr>
      </w:pPr>
    </w:p>
    <w:p w14:paraId="57F06862" w14:textId="7A06A07D" w:rsidR="00806709" w:rsidRPr="005B60AC" w:rsidRDefault="00FD653F" w:rsidP="005B60AC">
      <w:pPr>
        <w:pStyle w:val="ListParagraph"/>
        <w:numPr>
          <w:ilvl w:val="0"/>
          <w:numId w:val="6"/>
        </w:numPr>
        <w:tabs>
          <w:tab w:val="center" w:pos="1917"/>
        </w:tabs>
        <w:spacing w:after="19" w:line="259" w:lineRule="auto"/>
        <w:ind w:right="0"/>
        <w:jc w:val="left"/>
        <w:rPr>
          <w:rFonts w:ascii="Arial" w:hAnsi="Arial" w:cs="Arial"/>
          <w:color w:val="E20917"/>
          <w:sz w:val="24"/>
          <w:szCs w:val="24"/>
        </w:rPr>
      </w:pPr>
      <w:r w:rsidRPr="005B60AC">
        <w:rPr>
          <w:rFonts w:ascii="Arial" w:hAnsi="Arial" w:cs="Arial"/>
          <w:color w:val="E20917"/>
          <w:sz w:val="24"/>
          <w:szCs w:val="24"/>
        </w:rPr>
        <w:tab/>
        <w:t xml:space="preserve">Eligibility Requirements </w:t>
      </w:r>
    </w:p>
    <w:p w14:paraId="33334952" w14:textId="77777777" w:rsidR="000D5483" w:rsidRPr="00F0680F" w:rsidRDefault="000D5483">
      <w:pPr>
        <w:tabs>
          <w:tab w:val="center" w:pos="1917"/>
        </w:tabs>
        <w:spacing w:after="19" w:line="259" w:lineRule="auto"/>
        <w:ind w:left="0" w:right="0" w:firstLine="0"/>
        <w:jc w:val="left"/>
        <w:rPr>
          <w:rFonts w:ascii="Arial" w:hAnsi="Arial" w:cs="Arial"/>
          <w:sz w:val="20"/>
          <w:szCs w:val="20"/>
        </w:rPr>
      </w:pPr>
    </w:p>
    <w:p w14:paraId="3B8FEBDC" w14:textId="0CDCAF64" w:rsidR="005B60AC" w:rsidRPr="00DC1243" w:rsidRDefault="005B60AC" w:rsidP="00DC1243">
      <w:pPr>
        <w:pStyle w:val="ListParagraph"/>
        <w:numPr>
          <w:ilvl w:val="0"/>
          <w:numId w:val="7"/>
        </w:numPr>
        <w:spacing w:after="931"/>
        <w:ind w:right="0"/>
        <w:rPr>
          <w:rStyle w:val="eop"/>
          <w:rFonts w:ascii="Arial" w:hAnsi="Arial" w:cs="Arial"/>
          <w:sz w:val="20"/>
          <w:szCs w:val="20"/>
          <w:shd w:val="clear" w:color="auto" w:fill="FFFFFF"/>
        </w:rPr>
      </w:pPr>
      <w:r w:rsidRPr="00DC1243">
        <w:rPr>
          <w:rStyle w:val="normaltextrun"/>
          <w:rFonts w:ascii="Arial" w:hAnsi="Arial" w:cs="Arial"/>
          <w:sz w:val="20"/>
          <w:szCs w:val="20"/>
          <w:shd w:val="clear" w:color="auto" w:fill="FFFFFF"/>
        </w:rPr>
        <w:t xml:space="preserve">The occupant of this position will hold relevant </w:t>
      </w:r>
      <w:r w:rsidR="00950165" w:rsidRPr="00DC1243">
        <w:rPr>
          <w:rStyle w:val="normaltextrun"/>
          <w:rFonts w:ascii="Arial" w:hAnsi="Arial" w:cs="Arial"/>
          <w:sz w:val="20"/>
          <w:szCs w:val="20"/>
          <w:shd w:val="clear" w:color="auto" w:fill="FFFFFF"/>
        </w:rPr>
        <w:t xml:space="preserve">degree and post graduate </w:t>
      </w:r>
      <w:r w:rsidRPr="00DC1243">
        <w:rPr>
          <w:rStyle w:val="normaltextrun"/>
          <w:rFonts w:ascii="Arial" w:hAnsi="Arial" w:cs="Arial"/>
          <w:sz w:val="20"/>
          <w:szCs w:val="20"/>
          <w:shd w:val="clear" w:color="auto" w:fill="FFFFFF"/>
        </w:rPr>
        <w:t>qualifications and subsequent relevant experience</w:t>
      </w:r>
      <w:r w:rsidR="00DC1243" w:rsidRPr="00DC1243">
        <w:rPr>
          <w:rStyle w:val="normaltextrun"/>
          <w:rFonts w:ascii="Arial" w:hAnsi="Arial" w:cs="Arial"/>
          <w:sz w:val="20"/>
          <w:szCs w:val="20"/>
          <w:shd w:val="clear" w:color="auto" w:fill="FFFFFF"/>
        </w:rPr>
        <w:t xml:space="preserve"> in biosafety and biosecurity</w:t>
      </w:r>
      <w:r w:rsidRPr="00DC1243">
        <w:rPr>
          <w:rStyle w:val="normaltextrun"/>
          <w:rFonts w:ascii="Arial" w:hAnsi="Arial" w:cs="Arial"/>
          <w:sz w:val="20"/>
          <w:szCs w:val="20"/>
          <w:shd w:val="clear" w:color="auto" w:fill="FFFFFF"/>
        </w:rPr>
        <w:t>, or an equivalent combination of relevant skills, knowledge and experience. </w:t>
      </w:r>
      <w:r w:rsidRPr="00DC1243">
        <w:rPr>
          <w:rStyle w:val="eop"/>
          <w:rFonts w:ascii="Arial" w:hAnsi="Arial" w:cs="Arial"/>
          <w:sz w:val="20"/>
          <w:szCs w:val="20"/>
          <w:shd w:val="clear" w:color="auto" w:fill="FFFFFF"/>
        </w:rPr>
        <w:t> </w:t>
      </w:r>
    </w:p>
    <w:p w14:paraId="30AA55BF" w14:textId="77777777" w:rsidR="00DC1243" w:rsidRDefault="00DC1243" w:rsidP="005B60AC">
      <w:pPr>
        <w:spacing w:after="931"/>
        <w:ind w:right="0"/>
        <w:rPr>
          <w:rStyle w:val="eop"/>
          <w:rFonts w:ascii="Arial" w:hAnsi="Arial" w:cs="Arial"/>
          <w:sz w:val="20"/>
          <w:szCs w:val="20"/>
          <w:shd w:val="clear" w:color="auto" w:fill="FFFFFF"/>
        </w:rPr>
      </w:pPr>
    </w:p>
    <w:p w14:paraId="2EFDA891" w14:textId="6B0A77BF" w:rsidR="00057997" w:rsidRPr="00F0680F" w:rsidRDefault="00DC1243" w:rsidP="00057997">
      <w:pPr>
        <w:tabs>
          <w:tab w:val="center" w:pos="1917"/>
        </w:tabs>
        <w:spacing w:after="19" w:line="259" w:lineRule="auto"/>
        <w:ind w:left="0" w:right="0" w:firstLine="0"/>
        <w:jc w:val="left"/>
        <w:rPr>
          <w:rFonts w:ascii="Arial" w:hAnsi="Arial" w:cs="Arial"/>
          <w:color w:val="E20917"/>
          <w:sz w:val="24"/>
          <w:szCs w:val="24"/>
        </w:rPr>
      </w:pPr>
      <w:r>
        <w:rPr>
          <w:rFonts w:ascii="Arial" w:hAnsi="Arial" w:cs="Arial"/>
          <w:color w:val="E20917"/>
          <w:sz w:val="24"/>
          <w:szCs w:val="24"/>
        </w:rPr>
        <w:lastRenderedPageBreak/>
        <w:t>3</w:t>
      </w:r>
      <w:r w:rsidR="00057997" w:rsidRPr="00F0680F">
        <w:rPr>
          <w:rFonts w:ascii="Arial" w:hAnsi="Arial" w:cs="Arial"/>
          <w:color w:val="E20917"/>
          <w:sz w:val="24"/>
          <w:szCs w:val="24"/>
        </w:rPr>
        <w:t xml:space="preserve">.0 </w:t>
      </w:r>
      <w:r w:rsidR="00057997" w:rsidRPr="00F0680F">
        <w:rPr>
          <w:rFonts w:ascii="Arial" w:hAnsi="Arial" w:cs="Arial"/>
          <w:color w:val="E20917"/>
          <w:sz w:val="24"/>
          <w:szCs w:val="24"/>
        </w:rPr>
        <w:tab/>
        <w:t xml:space="preserve">Key </w:t>
      </w:r>
      <w:r w:rsidR="00F0680F" w:rsidRPr="00F0680F">
        <w:rPr>
          <w:rFonts w:ascii="Arial" w:hAnsi="Arial" w:cs="Arial"/>
          <w:color w:val="E20917"/>
          <w:sz w:val="24"/>
          <w:szCs w:val="24"/>
        </w:rPr>
        <w:t>Responsibilities</w:t>
      </w:r>
    </w:p>
    <w:p w14:paraId="3CE166DF" w14:textId="2A022015" w:rsidR="00806709" w:rsidRPr="00F0680F" w:rsidRDefault="00806709" w:rsidP="005B60AC">
      <w:pPr>
        <w:spacing w:after="16" w:line="259" w:lineRule="auto"/>
        <w:ind w:left="0" w:right="0" w:firstLine="0"/>
        <w:jc w:val="left"/>
        <w:rPr>
          <w:rFonts w:ascii="Arial" w:hAnsi="Arial" w:cs="Arial"/>
          <w:sz w:val="20"/>
          <w:szCs w:val="20"/>
        </w:rPr>
      </w:pPr>
    </w:p>
    <w:p w14:paraId="5686D8B6" w14:textId="43D24C26" w:rsidR="00D110DF" w:rsidRPr="005B60AC" w:rsidRDefault="00FD653F"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Provide strategic advice, analysis, interpretation, recommendations and/or decisions on a full range of </w:t>
      </w:r>
      <w:r w:rsidR="00D110DF" w:rsidRPr="005B60AC">
        <w:rPr>
          <w:rFonts w:ascii="Arial" w:hAnsi="Arial" w:cs="Arial"/>
          <w:sz w:val="20"/>
          <w:szCs w:val="20"/>
        </w:rPr>
        <w:t>h</w:t>
      </w:r>
      <w:r w:rsidRPr="005B60AC">
        <w:rPr>
          <w:rFonts w:ascii="Arial" w:hAnsi="Arial" w:cs="Arial"/>
          <w:sz w:val="20"/>
          <w:szCs w:val="20"/>
        </w:rPr>
        <w:t xml:space="preserve">ealth and safety data, policy, and related legislative issues to clients. </w:t>
      </w:r>
    </w:p>
    <w:p w14:paraId="129C84D8" w14:textId="2DF5DDF1" w:rsidR="00D110DF"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Participate in the University Biosafety Committee (UBC) technical review panel in relation to specific legislative health and safety requirements, including reviewing and providing advice on licence applications and licence conditions. </w:t>
      </w:r>
    </w:p>
    <w:p w14:paraId="4183CD4C" w14:textId="502DA9BA"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Provide support to the Associate Director- Health and Safety- Standards &amp; Assurance and related committees, networks and groups</w:t>
      </w:r>
    </w:p>
    <w:p w14:paraId="46BFBF83" w14:textId="30817C59"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Proactively lead, identify, implement and/or manage initiatives/projects for clients, including policy review, processes and standards and educative support services to clients, including the development of operating procedures for key pieces of instruments a</w:t>
      </w:r>
      <w:r w:rsidR="005B60AC" w:rsidRPr="005B60AC">
        <w:rPr>
          <w:rFonts w:ascii="Arial" w:hAnsi="Arial" w:cs="Arial"/>
          <w:sz w:val="20"/>
          <w:szCs w:val="20"/>
        </w:rPr>
        <w:t>n</w:t>
      </w:r>
      <w:r w:rsidRPr="005B60AC">
        <w:rPr>
          <w:rFonts w:ascii="Arial" w:hAnsi="Arial" w:cs="Arial"/>
          <w:sz w:val="20"/>
          <w:szCs w:val="20"/>
        </w:rPr>
        <w:t xml:space="preserve">d instruction and advice on the development of risk assessments. </w:t>
      </w:r>
    </w:p>
    <w:p w14:paraId="04235701" w14:textId="3AF27446" w:rsidR="00057997" w:rsidRPr="005B60AC" w:rsidRDefault="00057997" w:rsidP="005B60AC">
      <w:pPr>
        <w:pStyle w:val="ListParagraph"/>
        <w:numPr>
          <w:ilvl w:val="0"/>
          <w:numId w:val="5"/>
        </w:numPr>
        <w:spacing w:after="7"/>
        <w:ind w:right="0"/>
        <w:rPr>
          <w:rFonts w:ascii="Arial" w:hAnsi="Arial" w:cs="Arial"/>
          <w:sz w:val="20"/>
          <w:szCs w:val="20"/>
        </w:rPr>
      </w:pPr>
      <w:r w:rsidRPr="005B60AC">
        <w:rPr>
          <w:rFonts w:ascii="Arial" w:hAnsi="Arial" w:cs="Arial"/>
          <w:sz w:val="20"/>
          <w:szCs w:val="20"/>
        </w:rPr>
        <w:t>Proactively work with the clients in the application of import permits and contribute to the maintenance of records of biological activities, including Genetically Modified Organism dealings occurring throughout Griffith University</w:t>
      </w:r>
    </w:p>
    <w:p w14:paraId="3DC1D4A3" w14:textId="58361C1C" w:rsidR="00057997" w:rsidRPr="00317529" w:rsidRDefault="005B60AC" w:rsidP="00317529">
      <w:pPr>
        <w:pStyle w:val="ListParagraph"/>
        <w:numPr>
          <w:ilvl w:val="0"/>
          <w:numId w:val="5"/>
        </w:numPr>
        <w:ind w:right="0"/>
        <w:rPr>
          <w:rFonts w:ascii="Arial" w:hAnsi="Arial" w:cs="Arial"/>
          <w:sz w:val="20"/>
          <w:szCs w:val="20"/>
        </w:rPr>
      </w:pPr>
      <w:r w:rsidRPr="00317529">
        <w:rPr>
          <w:rFonts w:ascii="Arial" w:hAnsi="Arial" w:cs="Arial"/>
          <w:sz w:val="20"/>
          <w:szCs w:val="20"/>
        </w:rPr>
        <w:br/>
      </w:r>
      <w:r w:rsidR="00057997" w:rsidRPr="00317529">
        <w:rPr>
          <w:rFonts w:ascii="Arial" w:hAnsi="Arial" w:cs="Arial"/>
          <w:sz w:val="20"/>
          <w:szCs w:val="20"/>
        </w:rPr>
        <w:t xml:space="preserve">Build effective professional relationships and facilitate effective communication with clients and external stakeholders. </w:t>
      </w:r>
    </w:p>
    <w:p w14:paraId="28802180" w14:textId="40124536" w:rsidR="005B60AC" w:rsidRPr="00317529" w:rsidRDefault="00057997" w:rsidP="00317529">
      <w:pPr>
        <w:pStyle w:val="ListParagraph"/>
        <w:numPr>
          <w:ilvl w:val="0"/>
          <w:numId w:val="5"/>
        </w:numPr>
        <w:spacing w:after="7"/>
        <w:ind w:right="0"/>
        <w:rPr>
          <w:rFonts w:ascii="Arial" w:hAnsi="Arial" w:cs="Arial"/>
          <w:sz w:val="20"/>
          <w:szCs w:val="20"/>
        </w:rPr>
      </w:pPr>
      <w:r w:rsidRPr="005B60AC">
        <w:rPr>
          <w:rFonts w:ascii="Arial" w:hAnsi="Arial" w:cs="Arial"/>
          <w:sz w:val="20"/>
          <w:szCs w:val="20"/>
        </w:rPr>
        <w:t>Lead and coordinate work-related investigations and risk management processes as directed by management as well as incidents/accidents/near misses relating to biosafety and biosecurity matters. Provide advice on appropriate corrective action and control measures and, early intervention services</w:t>
      </w:r>
    </w:p>
    <w:p w14:paraId="7D171858" w14:textId="7F017ACD"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Lead and promote compliance with relevant legislation and University policies and procedures.   Provide advice in relation to contract management of biological safety pertaining to Biosafety and Biosecurity. Conduct regular audits and facilitate ongoing certification of laboratories and facilities where biological activities are occurring whilst continuously identifying, assessing and controlling risk. </w:t>
      </w:r>
    </w:p>
    <w:p w14:paraId="5E9B39CA" w14:textId="38BEF063" w:rsidR="039AA859" w:rsidRPr="005B60AC" w:rsidRDefault="039AA859" w:rsidP="005B60AC">
      <w:pPr>
        <w:pStyle w:val="ListParagraph"/>
        <w:numPr>
          <w:ilvl w:val="0"/>
          <w:numId w:val="5"/>
        </w:numPr>
        <w:ind w:right="0"/>
        <w:rPr>
          <w:rFonts w:ascii="Arial" w:eastAsia="Arial" w:hAnsi="Arial" w:cs="Arial"/>
          <w:color w:val="000000" w:themeColor="text1"/>
          <w:sz w:val="20"/>
          <w:szCs w:val="20"/>
        </w:rPr>
      </w:pPr>
      <w:r w:rsidRPr="06AFEE7D">
        <w:rPr>
          <w:rFonts w:ascii="Arial" w:eastAsia="Arial" w:hAnsi="Arial" w:cs="Arial"/>
          <w:color w:val="000000" w:themeColor="text1"/>
          <w:sz w:val="20"/>
          <w:szCs w:val="20"/>
        </w:rPr>
        <w:t xml:space="preserve">Work with the Senior Specialist team </w:t>
      </w:r>
      <w:r w:rsidR="005C7170" w:rsidRPr="06AFEE7D">
        <w:rPr>
          <w:rFonts w:ascii="Arial" w:eastAsia="Arial" w:hAnsi="Arial" w:cs="Arial"/>
          <w:color w:val="000000" w:themeColor="text1"/>
          <w:sz w:val="20"/>
          <w:szCs w:val="20"/>
        </w:rPr>
        <w:t xml:space="preserve"> </w:t>
      </w:r>
      <w:r w:rsidRPr="06AFEE7D">
        <w:rPr>
          <w:rFonts w:ascii="Arial" w:eastAsia="Arial" w:hAnsi="Arial" w:cs="Arial"/>
          <w:color w:val="000000" w:themeColor="text1"/>
          <w:sz w:val="20"/>
          <w:szCs w:val="20"/>
        </w:rPr>
        <w:t>to ensure that biological, radiation, chemical and occupational hygiene and health support services are maintained at all times, ensuring shared understanding of roles to maintain continuity of compliance during times of absence.</w:t>
      </w:r>
    </w:p>
    <w:p w14:paraId="492987E9" w14:textId="32FC9ADB"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Ensure continuous knowledge and development of skills though the coordination and attendance, if required, at conferences, displays and presentations for special purposes relating to Biosafety and Biosecurity. </w:t>
      </w:r>
    </w:p>
    <w:p w14:paraId="1FCD972E" w14:textId="1B200559"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Liaise with relevant Federal, State and Local Government departments regarding statutory obligations for biosafety and biosecurity matters in consultation with clients, other stakeholders and the Associate Director- Health and Safety- Standards &amp; Assurance</w:t>
      </w:r>
    </w:p>
    <w:p w14:paraId="7D0DFA62" w14:textId="65EF2905"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Provide advice on the transport, storage and disposal of biological waste including clinical and related waste in line with legislation and assist clients with all reported issues and/or concerns. </w:t>
      </w:r>
    </w:p>
    <w:p w14:paraId="272EA9CE" w14:textId="7EA17C10" w:rsidR="00057997" w:rsidRPr="005B60AC" w:rsidRDefault="00057997" w:rsidP="005B60AC">
      <w:pPr>
        <w:pStyle w:val="ListParagraph"/>
        <w:numPr>
          <w:ilvl w:val="0"/>
          <w:numId w:val="5"/>
        </w:numPr>
        <w:ind w:right="0"/>
        <w:rPr>
          <w:rFonts w:ascii="Arial" w:hAnsi="Arial" w:cs="Arial"/>
          <w:sz w:val="20"/>
          <w:szCs w:val="20"/>
        </w:rPr>
      </w:pPr>
      <w:r w:rsidRPr="005B60AC">
        <w:rPr>
          <w:rFonts w:ascii="Arial" w:hAnsi="Arial" w:cs="Arial"/>
          <w:sz w:val="20"/>
          <w:szCs w:val="20"/>
        </w:rPr>
        <w:t xml:space="preserve">Be a leading example of the principles and values embodied in the University’s Code of Conduct, and behave, act and communicate at all times to reflect fairness, ethics and professionalism. </w:t>
      </w:r>
    </w:p>
    <w:p w14:paraId="48C298E6" w14:textId="20E2D3DB" w:rsidR="00806709" w:rsidRPr="00F0680F" w:rsidRDefault="00806709" w:rsidP="00057997">
      <w:pPr>
        <w:pStyle w:val="ListParagraph"/>
        <w:ind w:left="1541" w:right="0" w:firstLine="0"/>
        <w:rPr>
          <w:rFonts w:ascii="Arial" w:hAnsi="Arial" w:cs="Arial"/>
          <w:sz w:val="20"/>
          <w:szCs w:val="20"/>
        </w:rPr>
      </w:pPr>
    </w:p>
    <w:p w14:paraId="1CD3B165" w14:textId="154DD4F3" w:rsidR="00806709" w:rsidRPr="00F0680F" w:rsidRDefault="00806709">
      <w:pPr>
        <w:spacing w:after="0" w:line="259" w:lineRule="auto"/>
        <w:ind w:left="1181" w:right="0" w:firstLine="0"/>
        <w:jc w:val="left"/>
        <w:rPr>
          <w:rFonts w:ascii="Arial" w:hAnsi="Arial" w:cs="Arial"/>
          <w:sz w:val="20"/>
          <w:szCs w:val="20"/>
        </w:rPr>
      </w:pPr>
    </w:p>
    <w:p w14:paraId="00492532" w14:textId="77777777" w:rsidR="00806709" w:rsidRPr="00F0680F" w:rsidRDefault="00FD653F">
      <w:pPr>
        <w:tabs>
          <w:tab w:val="center" w:pos="1565"/>
        </w:tabs>
        <w:spacing w:after="19" w:line="259" w:lineRule="auto"/>
        <w:ind w:left="0" w:right="0" w:firstLine="0"/>
        <w:jc w:val="left"/>
        <w:rPr>
          <w:rFonts w:ascii="Arial" w:hAnsi="Arial" w:cs="Arial"/>
          <w:sz w:val="24"/>
          <w:szCs w:val="24"/>
        </w:rPr>
      </w:pPr>
      <w:r w:rsidRPr="00F0680F">
        <w:rPr>
          <w:rFonts w:ascii="Arial" w:hAnsi="Arial" w:cs="Arial"/>
          <w:color w:val="E20917"/>
          <w:sz w:val="24"/>
          <w:szCs w:val="24"/>
        </w:rPr>
        <w:t xml:space="preserve">4.0 </w:t>
      </w:r>
      <w:r w:rsidRPr="00F0680F">
        <w:rPr>
          <w:rFonts w:ascii="Arial" w:hAnsi="Arial" w:cs="Arial"/>
          <w:color w:val="E20917"/>
          <w:sz w:val="24"/>
          <w:szCs w:val="24"/>
        </w:rPr>
        <w:tab/>
        <w:t xml:space="preserve">Key Capabilities </w:t>
      </w:r>
    </w:p>
    <w:p w14:paraId="112496CE" w14:textId="77777777" w:rsidR="00806709" w:rsidRPr="00F0680F" w:rsidRDefault="00FD653F">
      <w:pPr>
        <w:spacing w:after="16" w:line="259" w:lineRule="auto"/>
        <w:ind w:left="0" w:right="0" w:firstLine="0"/>
        <w:jc w:val="left"/>
        <w:rPr>
          <w:rFonts w:ascii="Arial" w:hAnsi="Arial" w:cs="Arial"/>
          <w:sz w:val="20"/>
          <w:szCs w:val="20"/>
        </w:rPr>
      </w:pPr>
      <w:r w:rsidRPr="00F0680F">
        <w:rPr>
          <w:rFonts w:ascii="Arial" w:hAnsi="Arial" w:cs="Arial"/>
          <w:sz w:val="20"/>
          <w:szCs w:val="20"/>
        </w:rPr>
        <w:t xml:space="preserve"> </w:t>
      </w:r>
    </w:p>
    <w:p w14:paraId="43BA13AF" w14:textId="0FD5A5C6" w:rsidR="00806709" w:rsidRPr="00F0680F" w:rsidRDefault="00FD653F">
      <w:pPr>
        <w:spacing w:after="8"/>
        <w:ind w:left="816" w:right="0"/>
        <w:rPr>
          <w:rFonts w:ascii="Arial" w:hAnsi="Arial" w:cs="Arial"/>
          <w:sz w:val="20"/>
          <w:szCs w:val="20"/>
        </w:rPr>
      </w:pPr>
      <w:r w:rsidRPr="00F0680F">
        <w:rPr>
          <w:rFonts w:ascii="Arial" w:hAnsi="Arial" w:cs="Arial"/>
          <w:sz w:val="20"/>
          <w:szCs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4920748" w14:textId="521473E8" w:rsidR="00806709" w:rsidRPr="00F0680F" w:rsidRDefault="00FD653F">
      <w:pPr>
        <w:spacing w:after="19" w:line="259" w:lineRule="auto"/>
        <w:ind w:left="878" w:right="0" w:firstLine="0"/>
        <w:jc w:val="left"/>
        <w:rPr>
          <w:rFonts w:ascii="Arial" w:hAnsi="Arial" w:cs="Arial"/>
          <w:sz w:val="20"/>
          <w:szCs w:val="20"/>
        </w:rPr>
      </w:pPr>
      <w:r w:rsidRPr="00F0680F">
        <w:rPr>
          <w:rFonts w:ascii="Arial" w:hAnsi="Arial" w:cs="Arial"/>
          <w:sz w:val="20"/>
          <w:szCs w:val="20"/>
        </w:rPr>
        <w:t xml:space="preserve"> </w:t>
      </w:r>
    </w:p>
    <w:p w14:paraId="012E37FE" w14:textId="2384C580" w:rsidR="00806709" w:rsidRPr="00F0680F" w:rsidRDefault="00FD653F">
      <w:pPr>
        <w:spacing w:after="8"/>
        <w:ind w:left="816" w:right="0"/>
        <w:rPr>
          <w:rFonts w:ascii="Arial" w:hAnsi="Arial" w:cs="Arial"/>
          <w:sz w:val="20"/>
          <w:szCs w:val="20"/>
        </w:rPr>
      </w:pPr>
      <w:r w:rsidRPr="00F0680F">
        <w:rPr>
          <w:rFonts w:ascii="Arial" w:hAnsi="Arial" w:cs="Arial"/>
          <w:sz w:val="20"/>
          <w:szCs w:val="20"/>
        </w:rPr>
        <w:t xml:space="preserve">To read about some of the non-technical organisation skills for this position, please see the </w:t>
      </w:r>
      <w:r w:rsidRPr="00BE4F6F">
        <w:rPr>
          <w:rFonts w:ascii="Arial" w:hAnsi="Arial" w:cs="Arial"/>
          <w:color w:val="FF0000"/>
          <w:sz w:val="20"/>
          <w:szCs w:val="20"/>
        </w:rPr>
        <w:t xml:space="preserve">Leads Self </w:t>
      </w:r>
      <w:r w:rsidRPr="00F0680F">
        <w:rPr>
          <w:rFonts w:ascii="Arial" w:hAnsi="Arial" w:cs="Arial"/>
          <w:sz w:val="20"/>
          <w:szCs w:val="20"/>
        </w:rPr>
        <w:t xml:space="preserve">section of our </w:t>
      </w:r>
      <w:hyperlink r:id="rId10" w:anchor="framework">
        <w:r w:rsidRPr="00F0680F">
          <w:rPr>
            <w:rFonts w:ascii="Arial" w:hAnsi="Arial" w:cs="Arial"/>
            <w:color w:val="1155CC"/>
            <w:sz w:val="20"/>
            <w:szCs w:val="20"/>
            <w:u w:val="single" w:color="1155CC"/>
          </w:rPr>
          <w:t>Capability Development Framework</w:t>
        </w:r>
      </w:hyperlink>
      <w:hyperlink r:id="rId11" w:anchor="framework">
        <w:r w:rsidRPr="00F0680F">
          <w:rPr>
            <w:rFonts w:ascii="Arial" w:hAnsi="Arial" w:cs="Arial"/>
            <w:color w:val="1155CC"/>
            <w:sz w:val="20"/>
            <w:szCs w:val="20"/>
            <w:u w:val="single" w:color="1155CC"/>
          </w:rPr>
          <w:t>.</w:t>
        </w:r>
      </w:hyperlink>
      <w:r w:rsidRPr="00F0680F">
        <w:rPr>
          <w:rFonts w:ascii="Arial" w:hAnsi="Arial" w:cs="Arial"/>
          <w:sz w:val="20"/>
          <w:szCs w:val="20"/>
        </w:rPr>
        <w:t xml:space="preserve"> </w:t>
      </w:r>
    </w:p>
    <w:p w14:paraId="6526AECA" w14:textId="20367203" w:rsidR="00806709" w:rsidRDefault="00FD653F">
      <w:pPr>
        <w:spacing w:after="19" w:line="259" w:lineRule="auto"/>
        <w:ind w:left="878" w:right="0" w:firstLine="0"/>
        <w:jc w:val="left"/>
      </w:pPr>
      <w:r>
        <w:t xml:space="preserve"> </w:t>
      </w:r>
    </w:p>
    <w:p w14:paraId="180C58F9" w14:textId="77777777" w:rsidR="00806709" w:rsidRDefault="00FD653F">
      <w:pPr>
        <w:spacing w:after="16" w:line="259" w:lineRule="auto"/>
        <w:ind w:left="0" w:right="0" w:firstLine="0"/>
        <w:jc w:val="left"/>
      </w:pPr>
      <w:r>
        <w:t xml:space="preserve"> </w:t>
      </w:r>
    </w:p>
    <w:p w14:paraId="2CBE0261" w14:textId="2904DFA3" w:rsidR="00806709" w:rsidRDefault="00FD653F">
      <w:pPr>
        <w:spacing w:after="16" w:line="259" w:lineRule="auto"/>
        <w:ind w:left="0" w:right="0" w:firstLine="0"/>
        <w:jc w:val="left"/>
      </w:pPr>
      <w:r>
        <w:t xml:space="preserve"> </w:t>
      </w:r>
    </w:p>
    <w:p w14:paraId="106E0661" w14:textId="2EF0D66F" w:rsidR="00806709" w:rsidRDefault="00FD653F">
      <w:pPr>
        <w:spacing w:after="0" w:line="259" w:lineRule="auto"/>
        <w:ind w:left="0" w:right="0" w:firstLine="0"/>
        <w:jc w:val="left"/>
      </w:pPr>
      <w:r>
        <w:rPr>
          <w:rFonts w:ascii="Times New Roman" w:eastAsia="Times New Roman" w:hAnsi="Times New Roman" w:cs="Times New Roman"/>
        </w:rPr>
        <w:t xml:space="preserve"> </w:t>
      </w:r>
    </w:p>
    <w:sectPr w:rsidR="00806709">
      <w:headerReference w:type="default" r:id="rId12"/>
      <w:pgSz w:w="11906" w:h="16838"/>
      <w:pgMar w:top="570" w:right="2453" w:bottom="14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E363" w14:textId="77777777" w:rsidR="00EC6451" w:rsidRDefault="00EC6451" w:rsidP="006145C4">
      <w:pPr>
        <w:spacing w:after="0" w:line="240" w:lineRule="auto"/>
      </w:pPr>
      <w:r>
        <w:separator/>
      </w:r>
    </w:p>
  </w:endnote>
  <w:endnote w:type="continuationSeparator" w:id="0">
    <w:p w14:paraId="00EDD894" w14:textId="77777777" w:rsidR="00EC6451" w:rsidRDefault="00EC6451" w:rsidP="0061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6FD3" w14:textId="77777777" w:rsidR="00EC6451" w:rsidRDefault="00EC6451" w:rsidP="006145C4">
      <w:pPr>
        <w:spacing w:after="0" w:line="240" w:lineRule="auto"/>
      </w:pPr>
      <w:r>
        <w:separator/>
      </w:r>
    </w:p>
  </w:footnote>
  <w:footnote w:type="continuationSeparator" w:id="0">
    <w:p w14:paraId="5D3A3221" w14:textId="77777777" w:rsidR="00EC6451" w:rsidRDefault="00EC6451" w:rsidP="00614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B19B" w14:textId="7267A996" w:rsidR="006145C4" w:rsidRDefault="00F0680F">
    <w:pPr>
      <w:pStyle w:val="Header"/>
    </w:pPr>
    <w:r w:rsidRPr="00F0680F">
      <w:rPr>
        <w:noProof/>
      </w:rPr>
      <w:t xml:space="preserve"> </w:t>
    </w:r>
    <w:r>
      <w:rPr>
        <w:noProof/>
      </w:rPr>
      <w:drawing>
        <wp:inline distT="0" distB="0" distL="0" distR="0" wp14:anchorId="30AB3EEF" wp14:editId="349A310A">
          <wp:extent cx="1553210" cy="59372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55321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028B"/>
    <w:multiLevelType w:val="hybridMultilevel"/>
    <w:tmpl w:val="930A7488"/>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 w15:restartNumberingAfterBreak="0">
    <w:nsid w:val="2251406D"/>
    <w:multiLevelType w:val="hybridMultilevel"/>
    <w:tmpl w:val="C144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361348"/>
    <w:multiLevelType w:val="hybridMultilevel"/>
    <w:tmpl w:val="402C5D38"/>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 w15:restartNumberingAfterBreak="0">
    <w:nsid w:val="6B463DCC"/>
    <w:multiLevelType w:val="multilevel"/>
    <w:tmpl w:val="D852698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2114286"/>
    <w:multiLevelType w:val="hybridMultilevel"/>
    <w:tmpl w:val="927AB91A"/>
    <w:lvl w:ilvl="0" w:tplc="CE508E04">
      <w:start w:val="1"/>
      <w:numFmt w:val="bullet"/>
      <w:lvlText w:val="▪"/>
      <w:lvlJc w:val="left"/>
      <w:pPr>
        <w:ind w:left="1166"/>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1" w:tplc="C9682C44">
      <w:start w:val="1"/>
      <w:numFmt w:val="bullet"/>
      <w:lvlText w:val="o"/>
      <w:lvlJc w:val="left"/>
      <w:pPr>
        <w:ind w:left="108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2" w:tplc="B8088278">
      <w:start w:val="1"/>
      <w:numFmt w:val="bullet"/>
      <w:lvlText w:val="▪"/>
      <w:lvlJc w:val="left"/>
      <w:pPr>
        <w:ind w:left="180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3" w:tplc="DF520AD4">
      <w:start w:val="1"/>
      <w:numFmt w:val="bullet"/>
      <w:lvlText w:val="•"/>
      <w:lvlJc w:val="left"/>
      <w:pPr>
        <w:ind w:left="252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4" w:tplc="DC56783E">
      <w:start w:val="1"/>
      <w:numFmt w:val="bullet"/>
      <w:lvlText w:val="o"/>
      <w:lvlJc w:val="left"/>
      <w:pPr>
        <w:ind w:left="324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5" w:tplc="5400155C">
      <w:start w:val="1"/>
      <w:numFmt w:val="bullet"/>
      <w:lvlText w:val="▪"/>
      <w:lvlJc w:val="left"/>
      <w:pPr>
        <w:ind w:left="396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6" w:tplc="ECE47694">
      <w:start w:val="1"/>
      <w:numFmt w:val="bullet"/>
      <w:lvlText w:val="•"/>
      <w:lvlJc w:val="left"/>
      <w:pPr>
        <w:ind w:left="468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7" w:tplc="7AC8C6A8">
      <w:start w:val="1"/>
      <w:numFmt w:val="bullet"/>
      <w:lvlText w:val="o"/>
      <w:lvlJc w:val="left"/>
      <w:pPr>
        <w:ind w:left="540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lvl w:ilvl="8" w:tplc="D0D2A8AA">
      <w:start w:val="1"/>
      <w:numFmt w:val="bullet"/>
      <w:lvlText w:val="▪"/>
      <w:lvlJc w:val="left"/>
      <w:pPr>
        <w:ind w:left="6120"/>
      </w:pPr>
      <w:rPr>
        <w:rFonts w:ascii="Wingdings" w:eastAsia="Wingdings" w:hAnsi="Wingdings" w:cs="Wingdings"/>
        <w:b w:val="0"/>
        <w:i w:val="0"/>
        <w:strike w:val="0"/>
        <w:dstrike w:val="0"/>
        <w:color w:val="E20917"/>
        <w:sz w:val="20"/>
        <w:szCs w:val="20"/>
        <w:u w:val="none" w:color="000000"/>
        <w:bdr w:val="none" w:sz="0" w:space="0" w:color="auto"/>
        <w:shd w:val="clear" w:color="auto" w:fill="auto"/>
        <w:vertAlign w:val="baseline"/>
      </w:rPr>
    </w:lvl>
  </w:abstractNum>
  <w:abstractNum w:abstractNumId="5" w15:restartNumberingAfterBreak="0">
    <w:nsid w:val="7BAD7A89"/>
    <w:multiLevelType w:val="multilevel"/>
    <w:tmpl w:val="4C3C15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DC42409"/>
    <w:multiLevelType w:val="hybridMultilevel"/>
    <w:tmpl w:val="40C4140E"/>
    <w:lvl w:ilvl="0" w:tplc="8646A1BC">
      <w:start w:val="2"/>
      <w:numFmt w:val="bullet"/>
      <w:lvlText w:val="-"/>
      <w:lvlJc w:val="left"/>
      <w:pPr>
        <w:ind w:left="1541" w:hanging="360"/>
      </w:pPr>
      <w:rPr>
        <w:rFonts w:ascii="Calibri" w:eastAsia="Calibri" w:hAnsi="Calibri" w:cs="Calibri" w:hint="default"/>
        <w:b/>
      </w:rPr>
    </w:lvl>
    <w:lvl w:ilvl="1" w:tplc="0C090003" w:tentative="1">
      <w:start w:val="1"/>
      <w:numFmt w:val="bullet"/>
      <w:lvlText w:val="o"/>
      <w:lvlJc w:val="left"/>
      <w:pPr>
        <w:ind w:left="2261" w:hanging="360"/>
      </w:pPr>
      <w:rPr>
        <w:rFonts w:ascii="Courier New" w:hAnsi="Courier New" w:cs="Courier New" w:hint="default"/>
      </w:rPr>
    </w:lvl>
    <w:lvl w:ilvl="2" w:tplc="0C090005" w:tentative="1">
      <w:start w:val="1"/>
      <w:numFmt w:val="bullet"/>
      <w:lvlText w:val=""/>
      <w:lvlJc w:val="left"/>
      <w:pPr>
        <w:ind w:left="2981" w:hanging="360"/>
      </w:pPr>
      <w:rPr>
        <w:rFonts w:ascii="Wingdings" w:hAnsi="Wingdings" w:hint="default"/>
      </w:rPr>
    </w:lvl>
    <w:lvl w:ilvl="3" w:tplc="0C090001" w:tentative="1">
      <w:start w:val="1"/>
      <w:numFmt w:val="bullet"/>
      <w:lvlText w:val=""/>
      <w:lvlJc w:val="left"/>
      <w:pPr>
        <w:ind w:left="3701" w:hanging="360"/>
      </w:pPr>
      <w:rPr>
        <w:rFonts w:ascii="Symbol" w:hAnsi="Symbol" w:hint="default"/>
      </w:rPr>
    </w:lvl>
    <w:lvl w:ilvl="4" w:tplc="0C090003" w:tentative="1">
      <w:start w:val="1"/>
      <w:numFmt w:val="bullet"/>
      <w:lvlText w:val="o"/>
      <w:lvlJc w:val="left"/>
      <w:pPr>
        <w:ind w:left="4421" w:hanging="360"/>
      </w:pPr>
      <w:rPr>
        <w:rFonts w:ascii="Courier New" w:hAnsi="Courier New" w:cs="Courier New" w:hint="default"/>
      </w:rPr>
    </w:lvl>
    <w:lvl w:ilvl="5" w:tplc="0C090005" w:tentative="1">
      <w:start w:val="1"/>
      <w:numFmt w:val="bullet"/>
      <w:lvlText w:val=""/>
      <w:lvlJc w:val="left"/>
      <w:pPr>
        <w:ind w:left="5141" w:hanging="360"/>
      </w:pPr>
      <w:rPr>
        <w:rFonts w:ascii="Wingdings" w:hAnsi="Wingdings" w:hint="default"/>
      </w:rPr>
    </w:lvl>
    <w:lvl w:ilvl="6" w:tplc="0C090001" w:tentative="1">
      <w:start w:val="1"/>
      <w:numFmt w:val="bullet"/>
      <w:lvlText w:val=""/>
      <w:lvlJc w:val="left"/>
      <w:pPr>
        <w:ind w:left="5861" w:hanging="360"/>
      </w:pPr>
      <w:rPr>
        <w:rFonts w:ascii="Symbol" w:hAnsi="Symbol" w:hint="default"/>
      </w:rPr>
    </w:lvl>
    <w:lvl w:ilvl="7" w:tplc="0C090003" w:tentative="1">
      <w:start w:val="1"/>
      <w:numFmt w:val="bullet"/>
      <w:lvlText w:val="o"/>
      <w:lvlJc w:val="left"/>
      <w:pPr>
        <w:ind w:left="6581" w:hanging="360"/>
      </w:pPr>
      <w:rPr>
        <w:rFonts w:ascii="Courier New" w:hAnsi="Courier New" w:cs="Courier New" w:hint="default"/>
      </w:rPr>
    </w:lvl>
    <w:lvl w:ilvl="8" w:tplc="0C090005" w:tentative="1">
      <w:start w:val="1"/>
      <w:numFmt w:val="bullet"/>
      <w:lvlText w:val=""/>
      <w:lvlJc w:val="left"/>
      <w:pPr>
        <w:ind w:left="7301" w:hanging="360"/>
      </w:pPr>
      <w:rPr>
        <w:rFonts w:ascii="Wingdings" w:hAnsi="Wingdings" w:hint="default"/>
      </w:rPr>
    </w:lvl>
  </w:abstractNum>
  <w:num w:numId="1" w16cid:durableId="66272547">
    <w:abstractNumId w:val="4"/>
  </w:num>
  <w:num w:numId="2" w16cid:durableId="1097751282">
    <w:abstractNumId w:val="6"/>
  </w:num>
  <w:num w:numId="3" w16cid:durableId="1923442031">
    <w:abstractNumId w:val="5"/>
  </w:num>
  <w:num w:numId="4" w16cid:durableId="1904676575">
    <w:abstractNumId w:val="1"/>
  </w:num>
  <w:num w:numId="5" w16cid:durableId="1092237995">
    <w:abstractNumId w:val="2"/>
  </w:num>
  <w:num w:numId="6" w16cid:durableId="2110546487">
    <w:abstractNumId w:val="3"/>
  </w:num>
  <w:num w:numId="7" w16cid:durableId="150636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9"/>
    <w:rsid w:val="00057997"/>
    <w:rsid w:val="000D5483"/>
    <w:rsid w:val="00112A9D"/>
    <w:rsid w:val="00317529"/>
    <w:rsid w:val="004C7FB2"/>
    <w:rsid w:val="005569F5"/>
    <w:rsid w:val="005B60AC"/>
    <w:rsid w:val="005C7170"/>
    <w:rsid w:val="006145C4"/>
    <w:rsid w:val="00653440"/>
    <w:rsid w:val="00671494"/>
    <w:rsid w:val="0072585C"/>
    <w:rsid w:val="00806709"/>
    <w:rsid w:val="008757FC"/>
    <w:rsid w:val="00893A6D"/>
    <w:rsid w:val="008E0AE2"/>
    <w:rsid w:val="00950165"/>
    <w:rsid w:val="009873E2"/>
    <w:rsid w:val="009C7948"/>
    <w:rsid w:val="00A407DE"/>
    <w:rsid w:val="00A6101C"/>
    <w:rsid w:val="00A73C0B"/>
    <w:rsid w:val="00BB1D9D"/>
    <w:rsid w:val="00BE4F6F"/>
    <w:rsid w:val="00C27DDF"/>
    <w:rsid w:val="00D110DF"/>
    <w:rsid w:val="00DC1243"/>
    <w:rsid w:val="00EC6451"/>
    <w:rsid w:val="00F0680F"/>
    <w:rsid w:val="00FD653F"/>
    <w:rsid w:val="00FE550A"/>
    <w:rsid w:val="039AA859"/>
    <w:rsid w:val="03A50DAA"/>
    <w:rsid w:val="06AFEE7D"/>
    <w:rsid w:val="6573E628"/>
    <w:rsid w:val="739D6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9B1C"/>
  <w15:docId w15:val="{4167FD48-DC05-4E04-8BEE-E15AFE9C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68" w:lineRule="auto"/>
      <w:ind w:left="862"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D5483"/>
    <w:pPr>
      <w:ind w:left="720"/>
      <w:contextualSpacing/>
    </w:pPr>
  </w:style>
  <w:style w:type="paragraph" w:styleId="Header">
    <w:name w:val="header"/>
    <w:basedOn w:val="Normal"/>
    <w:link w:val="HeaderChar"/>
    <w:uiPriority w:val="99"/>
    <w:unhideWhenUsed/>
    <w:rsid w:val="00614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5C4"/>
    <w:rPr>
      <w:rFonts w:ascii="Calibri" w:eastAsia="Calibri" w:hAnsi="Calibri" w:cs="Calibri"/>
      <w:color w:val="000000"/>
    </w:rPr>
  </w:style>
  <w:style w:type="paragraph" w:styleId="Footer">
    <w:name w:val="footer"/>
    <w:basedOn w:val="Normal"/>
    <w:link w:val="FooterChar"/>
    <w:uiPriority w:val="99"/>
    <w:unhideWhenUsed/>
    <w:rsid w:val="00614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5C4"/>
    <w:rPr>
      <w:rFonts w:ascii="Calibri" w:eastAsia="Calibri" w:hAnsi="Calibri" w:cs="Calibri"/>
      <w:color w:val="000000"/>
    </w:rPr>
  </w:style>
  <w:style w:type="character" w:customStyle="1" w:styleId="normaltextrun">
    <w:name w:val="normaltextrun"/>
    <w:basedOn w:val="DefaultParagraphFont"/>
    <w:rsid w:val="005B60AC"/>
  </w:style>
  <w:style w:type="character" w:customStyle="1" w:styleId="eop">
    <w:name w:val="eop"/>
    <w:basedOn w:val="DefaultParagraphFont"/>
    <w:rsid w:val="005B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18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EF71C88AF094F9356E35A5C8E55E1" ma:contentTypeVersion="4" ma:contentTypeDescription="Create a new document." ma:contentTypeScope="" ma:versionID="ab8b1a589d5af8adde153c8b1e10d757">
  <xsd:schema xmlns:xsd="http://www.w3.org/2001/XMLSchema" xmlns:xs="http://www.w3.org/2001/XMLSchema" xmlns:p="http://schemas.microsoft.com/office/2006/metadata/properties" xmlns:ns2="eceaba44-630c-423f-9e50-0587420c717c" xmlns:ns3="8df95098-2ece-4835-9cb5-6afeb12c29d6" targetNamespace="http://schemas.microsoft.com/office/2006/metadata/properties" ma:root="true" ma:fieldsID="7fa0d3e1fc25931bfcc950e57473cb9f" ns2:_="" ns3:_="">
    <xsd:import namespace="eceaba44-630c-423f-9e50-0587420c717c"/>
    <xsd:import namespace="8df95098-2ece-4835-9cb5-6afeb12c29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ba44-630c-423f-9e50-0587420c7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95098-2ece-4835-9cb5-6afeb12c29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74D17-215B-4AB1-B384-0EA9A1496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C153E-DB13-4DDC-A87A-6D3CED33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ba44-630c-423f-9e50-0587420c717c"/>
    <ds:schemaRef ds:uri="8df95098-2ece-4835-9cb5-6afeb12c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8BD1F-192B-4775-8DCF-CAD61AC93B07}">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cp:lastModifiedBy>Laura Whitworth</cp:lastModifiedBy>
  <cp:revision>2</cp:revision>
  <dcterms:created xsi:type="dcterms:W3CDTF">2025-07-24T00:21:00Z</dcterms:created>
  <dcterms:modified xsi:type="dcterms:W3CDTF">2025-07-24T00:21:00Z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0x010100009EF71C88AF094F9356E35A5C8E55E1</vt:lpwstr>
  </property>
</Properties>
</file>