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97FCD68" w:rsidR="00E449D4" w:rsidRPr="00C138CC" w:rsidRDefault="00E94DFD" w:rsidP="00AC182E">
            <w:pPr>
              <w:jc w:val="both"/>
              <w:rPr>
                <w:rFonts w:ascii="Arial" w:hAnsi="Arial" w:cs="Arial"/>
                <w:sz w:val="20"/>
                <w:szCs w:val="20"/>
              </w:rPr>
            </w:pPr>
            <w:r>
              <w:rPr>
                <w:rFonts w:ascii="Arial" w:hAnsi="Arial" w:cs="Arial"/>
                <w:sz w:val="20"/>
                <w:szCs w:val="20"/>
              </w:rPr>
              <w:t>eResearch Analyst</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4FED1CC3" w:rsidR="00E449D4" w:rsidRPr="00C138CC" w:rsidRDefault="00E94DFD"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1AA1589D" w:rsidR="00E449D4" w:rsidRPr="00C138CC" w:rsidRDefault="00E94DFD" w:rsidP="00AC182E">
            <w:pPr>
              <w:jc w:val="both"/>
              <w:rPr>
                <w:rFonts w:ascii="Arial" w:hAnsi="Arial" w:cs="Arial"/>
                <w:sz w:val="20"/>
                <w:szCs w:val="20"/>
              </w:rPr>
            </w:pPr>
            <w:r>
              <w:rPr>
                <w:rFonts w:ascii="Arial" w:hAnsi="Arial" w:cs="Arial"/>
                <w:sz w:val="20"/>
                <w:szCs w:val="20"/>
              </w:rPr>
              <w:t>HEW 8</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714E4EDB" w:rsidR="00E449D4" w:rsidRPr="008F09EA" w:rsidRDefault="00870E79" w:rsidP="00AC182E">
            <w:pPr>
              <w:jc w:val="both"/>
              <w:rPr>
                <w:rFonts w:ascii="Arial" w:hAnsi="Arial" w:cs="Arial"/>
                <w:sz w:val="20"/>
                <w:szCs w:val="20"/>
              </w:rPr>
            </w:pPr>
            <w:r w:rsidRPr="00870E79">
              <w:rPr>
                <w:rFonts w:ascii="Arial" w:hAnsi="Arial" w:cs="Arial"/>
                <w:sz w:val="20"/>
                <w:szCs w:val="20"/>
              </w:rPr>
              <w:t>000</w:t>
            </w:r>
            <w:r w:rsidR="000034E4">
              <w:rPr>
                <w:rFonts w:ascii="Arial" w:hAnsi="Arial" w:cs="Arial"/>
                <w:sz w:val="20"/>
                <w:szCs w:val="20"/>
              </w:rPr>
              <w:t>61851</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6FC9766F" w:rsidR="00E449D4" w:rsidRPr="008F09EA" w:rsidRDefault="008F09EA" w:rsidP="00AC182E">
            <w:pPr>
              <w:jc w:val="both"/>
              <w:rPr>
                <w:rFonts w:ascii="Arial" w:hAnsi="Arial" w:cs="Arial"/>
                <w:sz w:val="20"/>
                <w:szCs w:val="20"/>
              </w:rPr>
            </w:pPr>
            <w:r w:rsidRPr="008F09EA">
              <w:rPr>
                <w:rFonts w:ascii="Arial" w:hAnsi="Arial" w:cs="Arial"/>
                <w:sz w:val="20"/>
                <w:szCs w:val="20"/>
              </w:rPr>
              <w:t>Head</w:t>
            </w:r>
            <w:r w:rsidR="000034E4">
              <w:rPr>
                <w:rFonts w:ascii="Arial" w:hAnsi="Arial" w:cs="Arial"/>
                <w:sz w:val="20"/>
                <w:szCs w:val="20"/>
              </w:rPr>
              <w:t>,</w:t>
            </w:r>
            <w:r w:rsidRPr="008F09EA">
              <w:rPr>
                <w:rFonts w:ascii="Arial" w:hAnsi="Arial" w:cs="Arial"/>
                <w:sz w:val="20"/>
                <w:szCs w:val="20"/>
              </w:rPr>
              <w:t xml:space="preserve"> eResearch &amp; Specialised Advisory</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1989D51D" w:rsidR="00E449D4" w:rsidRPr="008F09EA" w:rsidRDefault="007A5DC6" w:rsidP="00AC182E">
            <w:pPr>
              <w:rPr>
                <w:rFonts w:ascii="Arial" w:hAnsi="Arial" w:cs="Arial"/>
                <w:sz w:val="20"/>
                <w:szCs w:val="20"/>
              </w:rPr>
            </w:pPr>
            <w:r>
              <w:rPr>
                <w:rFonts w:ascii="Arial" w:hAnsi="Arial" w:cs="Arial"/>
                <w:sz w:val="20"/>
                <w:szCs w:val="20"/>
              </w:rPr>
              <w:t>Fixed Term</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4AF2953A" w:rsidR="00E449D4" w:rsidRDefault="00E94DFD" w:rsidP="00E449D4">
      <w:pPr>
        <w:pStyle w:val="Heading2"/>
        <w:tabs>
          <w:tab w:val="left" w:pos="862"/>
        </w:tabs>
        <w:ind w:left="851" w:right="850" w:firstLine="0"/>
        <w:rPr>
          <w:rFonts w:ascii="Arial" w:hAnsi="Arial" w:cs="Arial"/>
          <w:sz w:val="20"/>
        </w:rPr>
      </w:pPr>
      <w:r w:rsidRPr="00E94DFD">
        <w:rPr>
          <w:rFonts w:ascii="Arial" w:hAnsi="Arial" w:cs="Arial"/>
          <w:sz w:val="20"/>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5753AF21" w14:textId="18FB88DA" w:rsidR="00B3558A" w:rsidRPr="00C138CC" w:rsidRDefault="00B3558A" w:rsidP="00E449D4">
      <w:pPr>
        <w:pStyle w:val="Heading2"/>
        <w:tabs>
          <w:tab w:val="left" w:pos="862"/>
        </w:tabs>
        <w:ind w:left="851" w:right="850" w:firstLine="0"/>
        <w:rPr>
          <w:rFonts w:ascii="Arial" w:hAnsi="Arial" w:cs="Arial"/>
          <w:color w:val="E20917"/>
        </w:rPr>
      </w:pPr>
      <w:r w:rsidRPr="00B3558A">
        <w:rPr>
          <w:rFonts w:ascii="Arial" w:hAnsi="Arial" w:cs="Arial"/>
          <w:sz w:val="20"/>
        </w:rPr>
        <w:t xml:space="preserve">eResearch Analysts work directly with researchers to improve research capability and impact through the optimal use of enterprise and cloud ICT infrastructure. They deliver ongoing consultancy services for specialised research activities by partnering with researchers to provide ICT leadership and support. They support the delivery of solutions through requirements gathering (functional and non-functional </w:t>
      </w:r>
      <w:proofErr w:type="spellStart"/>
      <w:r w:rsidRPr="00B3558A">
        <w:rPr>
          <w:rFonts w:ascii="Arial" w:hAnsi="Arial" w:cs="Arial"/>
          <w:sz w:val="20"/>
        </w:rPr>
        <w:t>eg</w:t>
      </w:r>
      <w:proofErr w:type="spellEnd"/>
      <w:r w:rsidRPr="00B3558A">
        <w:rPr>
          <w:rFonts w:ascii="Arial" w:hAnsi="Arial" w:cs="Arial"/>
          <w:sz w:val="20"/>
        </w:rPr>
        <w:t xml:space="preserve"> legislative), business analysis and modelling, implementation and support. They have a strong understanding of research data management including privacy and cybersecurity to aid in the design of integrated ICT solution architecture</w:t>
      </w:r>
      <w:r w:rsidRPr="00B3558A">
        <w:rPr>
          <w:rFonts w:ascii="Arial" w:hAnsi="Arial" w:cs="Arial"/>
          <w:color w:val="E20917"/>
        </w:rPr>
        <w:t>.</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B2F6F5E" w14:textId="7954CCD3" w:rsidR="00E449D4" w:rsidRPr="00C138CC" w:rsidRDefault="008F09EA" w:rsidP="00E94DFD">
      <w:pPr>
        <w:pStyle w:val="ListParagraph"/>
        <w:numPr>
          <w:ilvl w:val="2"/>
          <w:numId w:val="1"/>
        </w:numPr>
        <w:tabs>
          <w:tab w:val="left" w:pos="1180"/>
          <w:tab w:val="left" w:pos="1181"/>
        </w:tabs>
        <w:spacing w:line="276" w:lineRule="auto"/>
        <w:ind w:right="1018"/>
        <w:rPr>
          <w:rFonts w:ascii="Arial" w:hAnsi="Arial" w:cs="Arial"/>
          <w:sz w:val="20"/>
        </w:rPr>
      </w:pPr>
      <w:r w:rsidRPr="008F09EA">
        <w:rPr>
          <w:rFonts w:ascii="Arial" w:hAnsi="Arial" w:cs="Arial"/>
          <w:sz w:val="20"/>
        </w:rPr>
        <w:t>The occupant of this position will hold</w:t>
      </w:r>
      <w:r>
        <w:rPr>
          <w:rFonts w:ascii="Arial" w:hAnsi="Arial" w:cs="Arial"/>
          <w:sz w:val="20"/>
        </w:rPr>
        <w:t xml:space="preserve"> r</w:t>
      </w:r>
      <w:r w:rsidR="00E94DFD" w:rsidRPr="00E94DFD">
        <w:rPr>
          <w:rFonts w:ascii="Arial" w:hAnsi="Arial" w:cs="Arial"/>
          <w:sz w:val="20"/>
        </w:rPr>
        <w:t>elevant postgraduate qualifications or progress towards postgraduate qualifications and extensive relevant experience</w:t>
      </w:r>
      <w:r>
        <w:rPr>
          <w:rFonts w:ascii="Arial" w:hAnsi="Arial" w:cs="Arial"/>
          <w:sz w:val="20"/>
        </w:rPr>
        <w:t>.</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E449D4">
      <w:pPr>
        <w:pStyle w:val="BodyText"/>
        <w:spacing w:before="3"/>
        <w:rPr>
          <w:sz w:val="17"/>
        </w:rPr>
      </w:pPr>
    </w:p>
    <w:p w14:paraId="1AA75053" w14:textId="07F57605" w:rsidR="00E449D4" w:rsidRPr="00B3558A" w:rsidRDefault="00B3558A" w:rsidP="00A5010A">
      <w:pPr>
        <w:pStyle w:val="ListParagraph"/>
        <w:numPr>
          <w:ilvl w:val="2"/>
          <w:numId w:val="1"/>
        </w:numPr>
        <w:tabs>
          <w:tab w:val="left" w:pos="1180"/>
          <w:tab w:val="left" w:pos="1181"/>
        </w:tabs>
        <w:spacing w:line="278" w:lineRule="auto"/>
        <w:ind w:right="1020"/>
        <w:rPr>
          <w:rFonts w:ascii="Arial" w:hAnsi="Arial" w:cs="Arial"/>
          <w:sz w:val="20"/>
        </w:rPr>
      </w:pPr>
      <w:r w:rsidRPr="00B3558A">
        <w:rPr>
          <w:rFonts w:ascii="Arial" w:hAnsi="Arial" w:cs="Arial"/>
          <w:b/>
          <w:sz w:val="20"/>
        </w:rPr>
        <w:t>Information assurance</w:t>
      </w:r>
      <w:r w:rsidRPr="00B3558A">
        <w:rPr>
          <w:rFonts w:ascii="Arial" w:hAnsi="Arial" w:cs="Arial"/>
          <w:sz w:val="20"/>
        </w:rPr>
        <w:t>: Interprets information assurance and security policies and applies these in order to manage risks. Provides advice and guidance to ensure adoption of and adherence to information assurance architectures, strategies, policies, standards and guidelines. Uses testing to support information assurance. Contributes to the development of policies, standards and guidelines.</w:t>
      </w:r>
    </w:p>
    <w:p w14:paraId="54283F2A" w14:textId="6EBD5629" w:rsidR="00E449D4" w:rsidRDefault="00B3558A" w:rsidP="00E74D44">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Specialist advice</w:t>
      </w:r>
      <w:r w:rsidRPr="00B3558A">
        <w:rPr>
          <w:rFonts w:ascii="Arial" w:hAnsi="Arial" w:cs="Arial"/>
          <w:sz w:val="20"/>
        </w:rPr>
        <w:t xml:space="preserve">: 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w:t>
      </w:r>
      <w:r w:rsidRPr="00B3558A">
        <w:rPr>
          <w:rFonts w:ascii="Arial" w:hAnsi="Arial" w:cs="Arial"/>
          <w:sz w:val="20"/>
        </w:rPr>
        <w:lastRenderedPageBreak/>
        <w:t xml:space="preserve">given is appropriate to the needs of the organisation. </w:t>
      </w:r>
      <w:r w:rsidR="00E94DFD" w:rsidRPr="00B3558A">
        <w:rPr>
          <w:rFonts w:ascii="Arial" w:hAnsi="Arial" w:cs="Arial"/>
          <w:sz w:val="20"/>
        </w:rPr>
        <w:t>Support</w:t>
      </w:r>
      <w:r w:rsidR="00E449D4" w:rsidRPr="00B3558A">
        <w:rPr>
          <w:rFonts w:ascii="Arial" w:hAnsi="Arial" w:cs="Arial"/>
          <w:sz w:val="20"/>
        </w:rPr>
        <w:t xml:space="preserve"> compliance with relevant legislation and University policies and procedures, including equity and health &amp; safety and exhibit good practice in relation to same.  </w:t>
      </w:r>
    </w:p>
    <w:p w14:paraId="709F5382" w14:textId="07ACBD12" w:rsidR="00B3558A" w:rsidRDefault="00B3558A" w:rsidP="006A4B46">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Innovation</w:t>
      </w:r>
      <w:r w:rsidRPr="00B3558A">
        <w:rPr>
          <w:rFonts w:ascii="Arial" w:hAnsi="Arial" w:cs="Arial"/>
          <w:sz w:val="20"/>
        </w:rPr>
        <w:t>: Manages the innovation pipeline and executes innovation processes. Develops, evolves and adapts innovation tools, processes and infrastructures to drive the process of innovation. Identifies resources and capabilities needed to support innovation. Encourages and motivates innovation communities, teams and individuals to share creative ideas and learn from failures. Manages and facilitates the communication and open flow of creative ideas between interested parties and the set-up of innovation networks and communities.</w:t>
      </w:r>
    </w:p>
    <w:p w14:paraId="08DE0DBF" w14:textId="7DB3D4E9" w:rsidR="00B3558A" w:rsidRDefault="00B3558A" w:rsidP="00550B93">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Emerging technology monitoring</w:t>
      </w:r>
      <w:r w:rsidRPr="00B3558A">
        <w:rPr>
          <w:rFonts w:ascii="Arial" w:hAnsi="Arial" w:cs="Arial"/>
          <w:sz w:val="20"/>
        </w:rPr>
        <w:t xml:space="preserve">: Supports monitoring of the external environment and assessment of emerging technologies to evaluate the potential impacts, threats and opportunities to the organisation. Contributes to the creation of reports, technology </w:t>
      </w:r>
      <w:proofErr w:type="spellStart"/>
      <w:r w:rsidRPr="00B3558A">
        <w:rPr>
          <w:rFonts w:ascii="Arial" w:hAnsi="Arial" w:cs="Arial"/>
          <w:sz w:val="20"/>
        </w:rPr>
        <w:t>roadmapping</w:t>
      </w:r>
      <w:proofErr w:type="spellEnd"/>
      <w:r w:rsidRPr="00B3558A">
        <w:rPr>
          <w:rFonts w:ascii="Arial" w:hAnsi="Arial" w:cs="Arial"/>
          <w:sz w:val="20"/>
        </w:rPr>
        <w:t xml:space="preserve"> and the sharing of knowledge and insights.</w:t>
      </w:r>
    </w:p>
    <w:p w14:paraId="443CAA28" w14:textId="15B6ADBD" w:rsidR="3C424332" w:rsidRPr="00AB3270" w:rsidRDefault="3C424332" w:rsidP="58E1B8F9">
      <w:pPr>
        <w:pStyle w:val="ListParagraph"/>
        <w:numPr>
          <w:ilvl w:val="2"/>
          <w:numId w:val="1"/>
        </w:numPr>
        <w:spacing w:before="117" w:line="276" w:lineRule="auto"/>
        <w:ind w:right="1024"/>
        <w:rPr>
          <w:sz w:val="20"/>
          <w:szCs w:val="20"/>
        </w:rPr>
      </w:pPr>
      <w:r w:rsidRPr="58E1B8F9">
        <w:rPr>
          <w:rFonts w:ascii="Arial" w:hAnsi="Arial" w:cs="Arial"/>
          <w:b/>
          <w:bCs/>
          <w:sz w:val="20"/>
          <w:szCs w:val="20"/>
        </w:rPr>
        <w:t xml:space="preserve">Organisational </w:t>
      </w:r>
      <w:r w:rsidR="000548F8">
        <w:rPr>
          <w:rFonts w:ascii="Arial" w:hAnsi="Arial" w:cs="Arial"/>
          <w:b/>
          <w:bCs/>
          <w:sz w:val="20"/>
          <w:szCs w:val="20"/>
        </w:rPr>
        <w:t>c</w:t>
      </w:r>
      <w:r w:rsidRPr="58E1B8F9">
        <w:rPr>
          <w:rFonts w:ascii="Arial" w:hAnsi="Arial" w:cs="Arial"/>
          <w:b/>
          <w:bCs/>
          <w:sz w:val="20"/>
          <w:szCs w:val="20"/>
        </w:rPr>
        <w:t xml:space="preserve">apability </w:t>
      </w:r>
      <w:r w:rsidR="000548F8">
        <w:rPr>
          <w:rFonts w:ascii="Arial" w:hAnsi="Arial" w:cs="Arial"/>
          <w:b/>
          <w:bCs/>
          <w:sz w:val="20"/>
          <w:szCs w:val="20"/>
        </w:rPr>
        <w:t>d</w:t>
      </w:r>
      <w:r w:rsidRPr="58E1B8F9">
        <w:rPr>
          <w:rFonts w:ascii="Arial" w:hAnsi="Arial" w:cs="Arial"/>
          <w:b/>
          <w:bCs/>
          <w:sz w:val="20"/>
          <w:szCs w:val="20"/>
        </w:rPr>
        <w:t>evelopment</w:t>
      </w:r>
      <w:r w:rsidR="000548F8">
        <w:rPr>
          <w:rFonts w:ascii="Arial" w:hAnsi="Arial" w:cs="Arial"/>
          <w:b/>
          <w:bCs/>
          <w:sz w:val="20"/>
          <w:szCs w:val="20"/>
        </w:rPr>
        <w:t>.</w:t>
      </w:r>
      <w:r w:rsidRPr="58E1B8F9">
        <w:rPr>
          <w:rFonts w:ascii="Arial" w:hAnsi="Arial" w:cs="Arial"/>
          <w:b/>
          <w:bCs/>
          <w:sz w:val="20"/>
          <w:szCs w:val="20"/>
        </w:rPr>
        <w:t xml:space="preserve"> </w:t>
      </w:r>
      <w:r w:rsidRPr="001F1056">
        <w:rPr>
          <w:rFonts w:ascii="Arial" w:hAnsi="Arial" w:cs="Arial"/>
          <w:sz w:val="20"/>
        </w:rPr>
        <w:t>Develops and maintains a detailed knowledge of capability improvement approaches and techniques and selects appropriate approaches for the organisation. Contributes effectively to identifying new areas of capability improvement within the organisation which may be enhancements to skills, technology or processes. Carries out capability improvement assignments, such as maturity or performance assessments to identify strengths and weaknesses. Selects and prioritises improvement opportunities, generates buy-in and plans improvement activities justified by measurable organisational benefits. Mentors and supports localised continuous improvement activities.</w:t>
      </w:r>
    </w:p>
    <w:p w14:paraId="68C2B4FC" w14:textId="6DE188AD" w:rsidR="00B3558A" w:rsidRDefault="00B3558A" w:rsidP="00773A05">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Project management</w:t>
      </w:r>
      <w:r w:rsidRPr="00B3558A">
        <w:rPr>
          <w:rFonts w:ascii="Arial" w:hAnsi="Arial" w:cs="Arial"/>
          <w:sz w:val="20"/>
        </w:rPr>
        <w:t xml:space="preserve">: Defines, documents and carries out small projects or sub-projects (typically less than six months, with limited budget, limited interdependency with other projects, and no significant strategic impact), alone or with a small team, actively participating in all phases. Identifies, assesses and manages risks to the success of the project. Applies appropriate project management methods and tools whether predictive (plan-driven) approaches or adaptive (iterative/agile) approaches. Agrees project approach with stakeholders, and prepares realistic plans (including quality, risk and communications plans) and tracks activities against the project schedule, managing stakeholder involvement as appropriate. Monitors costs, timescales and resources </w:t>
      </w:r>
      <w:proofErr w:type="gramStart"/>
      <w:r w:rsidRPr="00B3558A">
        <w:rPr>
          <w:rFonts w:ascii="Arial" w:hAnsi="Arial" w:cs="Arial"/>
          <w:sz w:val="20"/>
        </w:rPr>
        <w:t>used, and</w:t>
      </w:r>
      <w:proofErr w:type="gramEnd"/>
      <w:r w:rsidRPr="00B3558A">
        <w:rPr>
          <w:rFonts w:ascii="Arial" w:hAnsi="Arial" w:cs="Arial"/>
          <w:sz w:val="20"/>
        </w:rPr>
        <w:t xml:space="preserve"> takes action where these deviate from agreed tolerances. Ensures that own projects are formally closed and, where appropriate, subsequently reviewed, and that lessons learned are recorded.</w:t>
      </w:r>
    </w:p>
    <w:p w14:paraId="00455880" w14:textId="0638A043" w:rsidR="00B3558A" w:rsidRDefault="00B3558A" w:rsidP="00776219">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Business analysis</w:t>
      </w:r>
      <w:r w:rsidRPr="00B3558A">
        <w:rPr>
          <w:rFonts w:ascii="Arial" w:hAnsi="Arial" w:cs="Arial"/>
          <w:sz w:val="20"/>
        </w:rPr>
        <w:t xml:space="preserve">: Investigates operational requirements, problems, and opportunities, seeking effective business solutions through improvements in automated and non-automated components of new or changed processes. Assists in the analysis of stakeholder objectives, and the underlying issues arising from investigations into business requirements and </w:t>
      </w:r>
      <w:proofErr w:type="gramStart"/>
      <w:r w:rsidRPr="00B3558A">
        <w:rPr>
          <w:rFonts w:ascii="Arial" w:hAnsi="Arial" w:cs="Arial"/>
          <w:sz w:val="20"/>
        </w:rPr>
        <w:t>problems, and</w:t>
      </w:r>
      <w:proofErr w:type="gramEnd"/>
      <w:r w:rsidRPr="00B3558A">
        <w:rPr>
          <w:rFonts w:ascii="Arial" w:hAnsi="Arial" w:cs="Arial"/>
          <w:sz w:val="20"/>
        </w:rPr>
        <w:t xml:space="preserve"> identifies options for consideration. Works with stakeholders, to identify potential benefits and available options for consideration, and in defining acceptance tests. Contributes to selection of the business analysis methods, tools and techniques for projects; selecting appropriately from predictive (plan-driven) approaches or adaptive (iterative/agile) approaches.</w:t>
      </w:r>
    </w:p>
    <w:p w14:paraId="4568E336" w14:textId="67E093BD" w:rsidR="00B3558A" w:rsidRDefault="00B3558A" w:rsidP="008307AC">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lastRenderedPageBreak/>
        <w:t>Requirements definition and management</w:t>
      </w:r>
      <w:r w:rsidRPr="00B3558A">
        <w:rPr>
          <w:rFonts w:ascii="Arial" w:hAnsi="Arial" w:cs="Arial"/>
          <w:sz w:val="20"/>
        </w:rPr>
        <w:t>: Contributes to selection of the requirements approach for projects, selecting appropriately from predictive (plan-driven) approaches or adaptive (iterative/agile) approaches. Defines and manages scoping, requirements definition and prioritisation activities for initiatives of medium size and complexity. Facilitates input from stakeholders, provides constructive challenge and enables effective prioritisation of requirements. Reviews requirements for errors and omissions. Establishes the requirements base-lines, obtains formal agreement to requirements, and ensures traceability to source. Investigates, manages, and applies authorised requests for changes to base-lined requirements, in line with change management policy.</w:t>
      </w:r>
    </w:p>
    <w:p w14:paraId="2D909693" w14:textId="4542BDDA" w:rsidR="00B3558A" w:rsidRPr="00B3558A" w:rsidRDefault="00B3558A" w:rsidP="00816453">
      <w:pPr>
        <w:pStyle w:val="ListParagraph"/>
        <w:numPr>
          <w:ilvl w:val="2"/>
          <w:numId w:val="1"/>
        </w:numPr>
        <w:tabs>
          <w:tab w:val="left" w:pos="1180"/>
          <w:tab w:val="left" w:pos="1181"/>
        </w:tabs>
        <w:spacing w:before="117" w:line="276" w:lineRule="auto"/>
        <w:ind w:right="1024"/>
        <w:rPr>
          <w:rFonts w:ascii="Arial" w:hAnsi="Arial" w:cs="Arial"/>
          <w:sz w:val="20"/>
        </w:rPr>
      </w:pPr>
      <w:proofErr w:type="gramStart"/>
      <w:r w:rsidRPr="00B3558A">
        <w:rPr>
          <w:rFonts w:ascii="Arial" w:hAnsi="Arial" w:cs="Arial"/>
          <w:b/>
          <w:sz w:val="20"/>
        </w:rPr>
        <w:t>User</w:t>
      </w:r>
      <w:proofErr w:type="gramEnd"/>
      <w:r w:rsidRPr="00B3558A">
        <w:rPr>
          <w:rFonts w:ascii="Arial" w:hAnsi="Arial" w:cs="Arial"/>
          <w:b/>
          <w:sz w:val="20"/>
        </w:rPr>
        <w:t xml:space="preserve"> experience analysis</w:t>
      </w:r>
      <w:r w:rsidRPr="00B3558A">
        <w:rPr>
          <w:rFonts w:ascii="Arial" w:hAnsi="Arial" w:cs="Arial"/>
          <w:sz w:val="20"/>
        </w:rPr>
        <w:t>: Identifies and describes the user objectives for systems, products and services.</w:t>
      </w:r>
      <w:r w:rsidR="008F09EA">
        <w:rPr>
          <w:rFonts w:ascii="Arial" w:hAnsi="Arial" w:cs="Arial"/>
          <w:sz w:val="20"/>
        </w:rPr>
        <w:t xml:space="preserve"> </w:t>
      </w:r>
      <w:r w:rsidRPr="00B3558A">
        <w:rPr>
          <w:rFonts w:ascii="Arial" w:hAnsi="Arial" w:cs="Arial"/>
          <w:sz w:val="20"/>
        </w:rPr>
        <w:t>Identifies the roles of affected stakeholder groups. Defines the required behaviour and performance of the system, product or service in terms of the total user experience, resolving potential conflicts between differing user requirements. Specifies measurable criteria for the required usability and accessibility of the system, products and services.</w:t>
      </w:r>
    </w:p>
    <w:p w14:paraId="333B272E" w14:textId="258451D0" w:rsidR="00B3558A" w:rsidRPr="00B3558A" w:rsidRDefault="00B3558A" w:rsidP="00F0251F">
      <w:pPr>
        <w:pStyle w:val="ListParagraph"/>
        <w:numPr>
          <w:ilvl w:val="2"/>
          <w:numId w:val="1"/>
        </w:numPr>
        <w:tabs>
          <w:tab w:val="left" w:pos="1180"/>
          <w:tab w:val="left" w:pos="1181"/>
        </w:tabs>
        <w:spacing w:before="117" w:line="276" w:lineRule="auto"/>
        <w:ind w:right="1024"/>
        <w:rPr>
          <w:rFonts w:ascii="Arial" w:hAnsi="Arial" w:cs="Arial"/>
          <w:sz w:val="20"/>
        </w:rPr>
      </w:pPr>
      <w:r w:rsidRPr="00B3558A">
        <w:rPr>
          <w:rFonts w:ascii="Arial" w:hAnsi="Arial" w:cs="Arial"/>
          <w:b/>
          <w:sz w:val="20"/>
        </w:rPr>
        <w:t>Relationship management</w:t>
      </w:r>
      <w:r w:rsidRPr="00B3558A">
        <w:rPr>
          <w:rFonts w:ascii="Arial" w:hAnsi="Arial" w:cs="Arial"/>
          <w:sz w:val="20"/>
        </w:rPr>
        <w:t>: Implements stakeholder engagement/communications plan. Deals with problems and issues, managing resolutions, corrective actions, lessons learned and the collection and dissemination of relevant information. Collects and uses feedback from customers and stakeholders to help measure effectiveness of stakeholder management. Helps develop and enhance customer and stakeholder relationships.</w:t>
      </w:r>
    </w:p>
    <w:p w14:paraId="270C174F" w14:textId="39775D18" w:rsidR="00E449D4" w:rsidRDefault="00E449D4" w:rsidP="00E449D4">
      <w:pPr>
        <w:pStyle w:val="ListParagraph"/>
        <w:numPr>
          <w:ilvl w:val="2"/>
          <w:numId w:val="1"/>
        </w:numPr>
        <w:tabs>
          <w:tab w:val="left" w:pos="1180"/>
          <w:tab w:val="left" w:pos="1181"/>
        </w:tabs>
        <w:spacing w:before="117" w:line="276" w:lineRule="auto"/>
        <w:ind w:right="1024"/>
        <w:rPr>
          <w:rFonts w:ascii="Arial" w:hAnsi="Arial" w:cs="Arial"/>
          <w:sz w:val="20"/>
        </w:rPr>
      </w:pPr>
      <w:r w:rsidRPr="00C138CC">
        <w:rPr>
          <w:rFonts w:ascii="Arial" w:hAnsi="Arial" w:cs="Arial"/>
          <w:sz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7DD99D48" w14:textId="77777777" w:rsidR="00DC185F" w:rsidRDefault="00DC185F" w:rsidP="00DC185F">
      <w:pPr>
        <w:tabs>
          <w:tab w:val="left" w:pos="1276"/>
        </w:tabs>
        <w:spacing w:line="276" w:lineRule="auto"/>
        <w:ind w:left="1276" w:right="1020"/>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89932" w14:textId="77777777" w:rsidR="0037648D" w:rsidRDefault="0037648D" w:rsidP="00E449D4">
      <w:r>
        <w:separator/>
      </w:r>
    </w:p>
  </w:endnote>
  <w:endnote w:type="continuationSeparator" w:id="0">
    <w:p w14:paraId="3198175B" w14:textId="77777777" w:rsidR="0037648D" w:rsidRDefault="0037648D"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color w:val="2B579A"/>
        <w:shd w:val="clear" w:color="auto" w:fill="E6E6E6"/>
        <w:lang w:bidi="ar-SA"/>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7188"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color w:val="2B579A"/>
        <w:shd w:val="clear" w:color="auto" w:fill="E6E6E6"/>
        <w:lang w:bidi="ar-SA"/>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AC7C7"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07DF" w14:textId="77777777" w:rsidR="0037648D" w:rsidRDefault="0037648D" w:rsidP="00E449D4">
      <w:r>
        <w:separator/>
      </w:r>
    </w:p>
  </w:footnote>
  <w:footnote w:type="continuationSeparator" w:id="0">
    <w:p w14:paraId="1F608556" w14:textId="77777777" w:rsidR="0037648D" w:rsidRDefault="0037648D"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30269F57" w:rsidR="00EB78CB" w:rsidRDefault="00EB78CB">
    <w:pPr>
      <w:pStyle w:val="Header"/>
    </w:pPr>
    <w:r>
      <w:rPr>
        <w:noProof/>
        <w:color w:val="2B579A"/>
        <w:shd w:val="clear" w:color="auto" w:fill="E6E6E6"/>
        <w:lang w:bidi="ar-SA"/>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bidi="ar-SA"/>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431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color w:val="2B579A"/>
        <w:shd w:val="clear" w:color="auto" w:fill="E6E6E6"/>
        <w:lang w:bidi="ar-SA"/>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253926">
    <w:abstractNumId w:val="0"/>
  </w:num>
  <w:num w:numId="2" w16cid:durableId="210449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2NDe1NDY2tDQCMpR0lIJTi4sz8/NACgxrAZXkJD0sAAAA"/>
  </w:docVars>
  <w:rsids>
    <w:rsidRoot w:val="00E449D4"/>
    <w:rsid w:val="000034E4"/>
    <w:rsid w:val="00011FFA"/>
    <w:rsid w:val="000548F8"/>
    <w:rsid w:val="00066303"/>
    <w:rsid w:val="000B09AD"/>
    <w:rsid w:val="000C2CBF"/>
    <w:rsid w:val="00134058"/>
    <w:rsid w:val="001F1056"/>
    <w:rsid w:val="001F2167"/>
    <w:rsid w:val="0037648D"/>
    <w:rsid w:val="00614F87"/>
    <w:rsid w:val="006F1AB4"/>
    <w:rsid w:val="007A5DC6"/>
    <w:rsid w:val="008404E6"/>
    <w:rsid w:val="00864393"/>
    <w:rsid w:val="00870E79"/>
    <w:rsid w:val="008F09EA"/>
    <w:rsid w:val="00A125DD"/>
    <w:rsid w:val="00A227CE"/>
    <w:rsid w:val="00AB3270"/>
    <w:rsid w:val="00B3558A"/>
    <w:rsid w:val="00B54132"/>
    <w:rsid w:val="00BA0D75"/>
    <w:rsid w:val="00CA16E6"/>
    <w:rsid w:val="00DB25D7"/>
    <w:rsid w:val="00DC185F"/>
    <w:rsid w:val="00E3020D"/>
    <w:rsid w:val="00E449D4"/>
    <w:rsid w:val="00E94DFD"/>
    <w:rsid w:val="00EB78CB"/>
    <w:rsid w:val="00EC5607"/>
    <w:rsid w:val="00EF542E"/>
    <w:rsid w:val="15F5F167"/>
    <w:rsid w:val="21BA7290"/>
    <w:rsid w:val="2F3230A7"/>
    <w:rsid w:val="3C424332"/>
    <w:rsid w:val="58E1B8F9"/>
    <w:rsid w:val="5B50366A"/>
    <w:rsid w:val="68D6950A"/>
    <w:rsid w:val="6BFF1856"/>
    <w:rsid w:val="6D66C7F8"/>
    <w:rsid w:val="71FAA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AU" w:bidi="en-AU"/>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3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70"/>
    <w:rPr>
      <w:rFonts w:ascii="Segoe UI" w:eastAsia="Times New Roman" w:hAnsi="Segoe UI" w:cs="Segoe UI"/>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3" ma:contentTypeDescription="Create a new document." ma:contentTypeScope="" ma:versionID="4d0e1b8bfb0f7f2fea41d9c43c2ff90d">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cfbd8478fca4c279e7c95e2171fdeabb"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24EA1-D055-4212-912D-7079CA85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FE766-D0FD-43C8-9C1D-51B0A8BB8E79}">
  <ds:schemaRefs>
    <ds:schemaRef ds:uri="http://schemas.microsoft.com/office/2006/metadata/properties"/>
    <ds:schemaRef ds:uri="http://schemas.microsoft.com/office/infopath/2007/PartnerControls"/>
    <ds:schemaRef ds:uri="b47d115d-de65-4e72-80f4-e3c74ce8857f"/>
    <ds:schemaRef ds:uri="1779eac0-e461-4756-8daa-3fd635e13fd4"/>
  </ds:schemaRefs>
</ds:datastoreItem>
</file>

<file path=customXml/itemProps3.xml><?xml version="1.0" encoding="utf-8"?>
<ds:datastoreItem xmlns:ds="http://schemas.openxmlformats.org/officeDocument/2006/customXml" ds:itemID="{68A922C1-54BB-4036-B952-A946BF61ECED}">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dcterms:created xsi:type="dcterms:W3CDTF">2025-03-11T04:26:00Z</dcterms:created>
  <dcterms:modified xsi:type="dcterms:W3CDTF">2025-03-11T04:26:00Z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