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1397" w14:textId="77777777" w:rsidR="00CC5365" w:rsidRDefault="00986BAC">
      <w:pPr>
        <w:pStyle w:val="BodyText"/>
        <w:spacing w:before="99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178B967" wp14:editId="2F6D59EB">
                <wp:simplePos x="0" y="0"/>
                <wp:positionH relativeFrom="page">
                  <wp:posOffset>4638675</wp:posOffset>
                </wp:positionH>
                <wp:positionV relativeFrom="page">
                  <wp:posOffset>15239</wp:posOffset>
                </wp:positionV>
                <wp:extent cx="2921635" cy="192976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635" cy="1929764"/>
                          <a:chOff x="0" y="0"/>
                          <a:chExt cx="2921635" cy="19297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21635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1929764">
                                <a:moveTo>
                                  <a:pt x="2921634" y="0"/>
                                </a:moveTo>
                                <a:lnTo>
                                  <a:pt x="0" y="0"/>
                                </a:lnTo>
                                <a:lnTo>
                                  <a:pt x="1939925" y="1929765"/>
                                </a:lnTo>
                                <a:lnTo>
                                  <a:pt x="2921634" y="953135"/>
                                </a:lnTo>
                                <a:lnTo>
                                  <a:pt x="2921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D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921635" cy="19297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8F2B23" w14:textId="77777777" w:rsidR="00CC5365" w:rsidRDefault="00986BAC">
                              <w:pPr>
                                <w:spacing w:before="162"/>
                                <w:ind w:left="1691" w:right="157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0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8B967" id="Group 1" o:spid="_x0000_s1026" style="position:absolute;margin-left:365.25pt;margin-top:1.2pt;width:230.05pt;height:151.95pt;z-index:251658240;mso-wrap-distance-left:0;mso-wrap-distance-right:0;mso-position-horizontal-relative:page;mso-position-vertical-relative:page" coordsize="29216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">
                <v:shape id="Graphic 2" o:spid="_x0000_s1027" style="position:absolute;width:29216;height:19297;visibility:visible;mso-wrap-style:square;v-text-anchor:top" coordsize="2921635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" path="m2921634,l,,1939925,1929765,2921634,953135,2921634,xe" fillcolor="#eb1d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9216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28F2B23" w14:textId="77777777" w:rsidR="00CC5365" w:rsidRDefault="00986BAC">
                        <w:pPr>
                          <w:spacing w:before="162"/>
                          <w:ind w:left="1691" w:right="157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0"/>
                          </w:rPr>
                          <w:t>Position 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11F5A60" wp14:editId="7ADACBB8">
                <wp:simplePos x="0" y="0"/>
                <wp:positionH relativeFrom="page">
                  <wp:posOffset>4446</wp:posOffset>
                </wp:positionH>
                <wp:positionV relativeFrom="page">
                  <wp:posOffset>7127875</wp:posOffset>
                </wp:positionV>
                <wp:extent cx="3565525" cy="356425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5525" cy="3564254"/>
                          <a:chOff x="0" y="0"/>
                          <a:chExt cx="3565525" cy="356425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" y="0"/>
                            <a:ext cx="3564254" cy="3564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3564254">
                                <a:moveTo>
                                  <a:pt x="0" y="0"/>
                                </a:moveTo>
                                <a:lnTo>
                                  <a:pt x="0" y="3564254"/>
                                </a:lnTo>
                                <a:lnTo>
                                  <a:pt x="3564253" y="3564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3970"/>
                            <a:ext cx="1280795" cy="234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795" h="2349500">
                                <a:moveTo>
                                  <a:pt x="0" y="0"/>
                                </a:moveTo>
                                <a:lnTo>
                                  <a:pt x="0" y="2349499"/>
                                </a:lnTo>
                                <a:lnTo>
                                  <a:pt x="1280793" y="1268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65D08" id="Group 4" o:spid="_x0000_s1026" style="position:absolute;margin-left:.35pt;margin-top:561.25pt;width:280.75pt;height:280.65pt;z-index:-251655168;mso-wrap-distance-left:0;mso-wrap-distance-right:0;mso-position-horizontal-relative:page;mso-position-vertical-relative:page" coordsize="35655,35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">
                <v:shape id="Graphic 5" o:spid="_x0000_s1027" style="position:absolute;left:12;width:35643;height:35642;visibility:visible;mso-wrap-style:square;v-text-anchor:top" coordsize="3564254,3564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" path="m,l,3564254r3564253,l,xe" fillcolor="#efefef" stroked="f">
                  <v:path arrowok="t"/>
                </v:shape>
                <v:shape id="Graphic 6" o:spid="_x0000_s1028" style="position:absolute;top:139;width:12807;height:23495;visibility:visible;mso-wrap-style:square;v-text-anchor:top" coordsize="1280795,234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" path="m,l,2349499,1280793,1268094,,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1154466" w14:textId="77777777" w:rsidR="00CC5365" w:rsidRDefault="00986BAC">
      <w:pPr>
        <w:pStyle w:val="BodyText"/>
        <w:ind w:left="14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6C6508C" wp14:editId="710CEAB1">
            <wp:extent cx="1553854" cy="59435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854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CDE7" w14:textId="77777777" w:rsidR="00CC5365" w:rsidRDefault="00CC5365">
      <w:pPr>
        <w:pStyle w:val="BodyText"/>
        <w:rPr>
          <w:rFonts w:ascii="Times New Roman"/>
        </w:rPr>
      </w:pPr>
    </w:p>
    <w:p w14:paraId="0900F063" w14:textId="77777777" w:rsidR="00CC5365" w:rsidRDefault="00CC5365">
      <w:pPr>
        <w:pStyle w:val="BodyText"/>
        <w:rPr>
          <w:rFonts w:ascii="Times New Roman"/>
        </w:rPr>
      </w:pPr>
    </w:p>
    <w:p w14:paraId="0412B4CD" w14:textId="77777777" w:rsidR="00CC5365" w:rsidRDefault="00CC5365">
      <w:pPr>
        <w:pStyle w:val="BodyText"/>
        <w:rPr>
          <w:rFonts w:ascii="Times New Roman"/>
        </w:rPr>
      </w:pPr>
    </w:p>
    <w:p w14:paraId="5CAEBDBD" w14:textId="77777777" w:rsidR="00CC5365" w:rsidRDefault="00CC5365">
      <w:pPr>
        <w:pStyle w:val="BodyText"/>
        <w:rPr>
          <w:rFonts w:ascii="Times New Roman"/>
        </w:rPr>
      </w:pPr>
    </w:p>
    <w:p w14:paraId="36B1EE60" w14:textId="77777777" w:rsidR="00CC5365" w:rsidRDefault="00CC5365">
      <w:pPr>
        <w:pStyle w:val="BodyText"/>
        <w:rPr>
          <w:rFonts w:ascii="Times New Roman"/>
        </w:rPr>
      </w:pPr>
    </w:p>
    <w:p w14:paraId="6312B63C" w14:textId="77777777" w:rsidR="00CC5365" w:rsidRDefault="00CC5365">
      <w:pPr>
        <w:pStyle w:val="BodyText"/>
        <w:rPr>
          <w:rFonts w:ascii="Times New Roman"/>
        </w:rPr>
      </w:pPr>
    </w:p>
    <w:p w14:paraId="5FE60213" w14:textId="77777777" w:rsidR="00CC5365" w:rsidRDefault="00CC5365">
      <w:pPr>
        <w:pStyle w:val="BodyText"/>
        <w:spacing w:before="202"/>
        <w:rPr>
          <w:rFonts w:ascii="Times New Roman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6198"/>
      </w:tblGrid>
      <w:tr w:rsidR="00CC5365" w14:paraId="1A676172" w14:textId="77777777" w:rsidTr="0054042D">
        <w:trPr>
          <w:trHeight w:val="460"/>
        </w:trPr>
        <w:tc>
          <w:tcPr>
            <w:tcW w:w="2876" w:type="dxa"/>
            <w:shd w:val="clear" w:color="auto" w:fill="D9D9D9"/>
            <w:vAlign w:val="center"/>
          </w:tcPr>
          <w:p w14:paraId="15EA6A6C" w14:textId="77777777" w:rsidR="00CC5365" w:rsidRDefault="00986BAC" w:rsidP="0054042D">
            <w:pPr>
              <w:pStyle w:val="TableParagraph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198" w:type="dxa"/>
            <w:vAlign w:val="center"/>
          </w:tcPr>
          <w:p w14:paraId="5D016AB4" w14:textId="77777777" w:rsidR="00CC5365" w:rsidRDefault="00986BAC" w:rsidP="0054042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Administrative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</w:t>
            </w:r>
          </w:p>
        </w:tc>
      </w:tr>
      <w:tr w:rsidR="00CC5365" w14:paraId="32000ECE" w14:textId="77777777" w:rsidTr="0054042D">
        <w:trPr>
          <w:trHeight w:val="460"/>
        </w:trPr>
        <w:tc>
          <w:tcPr>
            <w:tcW w:w="2876" w:type="dxa"/>
            <w:shd w:val="clear" w:color="auto" w:fill="D9D9D9"/>
            <w:vAlign w:val="center"/>
          </w:tcPr>
          <w:p w14:paraId="0B121507" w14:textId="77777777" w:rsidR="00CC5365" w:rsidRDefault="00986BAC" w:rsidP="0054042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Group/Portfolio</w:t>
            </w:r>
          </w:p>
        </w:tc>
        <w:tc>
          <w:tcPr>
            <w:tcW w:w="6198" w:type="dxa"/>
            <w:vAlign w:val="center"/>
          </w:tcPr>
          <w:p w14:paraId="4FBD7360" w14:textId="48EC604B" w:rsidR="00CC5365" w:rsidRDefault="00AC0F8B" w:rsidP="0054042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Deputy Vice Chancellor (Indigenous</w:t>
            </w:r>
            <w:r w:rsidR="00416DA5">
              <w:rPr>
                <w:spacing w:val="-4"/>
                <w:sz w:val="20"/>
              </w:rPr>
              <w:t xml:space="preserve">) </w:t>
            </w:r>
          </w:p>
        </w:tc>
      </w:tr>
      <w:tr w:rsidR="00CC5365" w14:paraId="5F07A42F" w14:textId="77777777" w:rsidTr="0054042D">
        <w:trPr>
          <w:trHeight w:val="458"/>
        </w:trPr>
        <w:tc>
          <w:tcPr>
            <w:tcW w:w="2876" w:type="dxa"/>
            <w:shd w:val="clear" w:color="auto" w:fill="D9D9D9"/>
            <w:vAlign w:val="center"/>
          </w:tcPr>
          <w:p w14:paraId="4744C203" w14:textId="77777777" w:rsidR="00CC5365" w:rsidRDefault="00986BAC" w:rsidP="0054042D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Classification</w:t>
            </w:r>
          </w:p>
        </w:tc>
        <w:tc>
          <w:tcPr>
            <w:tcW w:w="6198" w:type="dxa"/>
            <w:vAlign w:val="center"/>
          </w:tcPr>
          <w:p w14:paraId="33D3CA60" w14:textId="77777777" w:rsidR="00CC5365" w:rsidRDefault="00986BAC" w:rsidP="0054042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CC5365" w14:paraId="7AEA2BF9" w14:textId="77777777" w:rsidTr="0054042D">
        <w:trPr>
          <w:trHeight w:val="460"/>
        </w:trPr>
        <w:tc>
          <w:tcPr>
            <w:tcW w:w="2876" w:type="dxa"/>
            <w:shd w:val="clear" w:color="auto" w:fill="D9D9D9"/>
            <w:vAlign w:val="center"/>
          </w:tcPr>
          <w:p w14:paraId="43327AB6" w14:textId="77777777" w:rsidR="00CC5365" w:rsidRDefault="00986BAC" w:rsidP="0054042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198" w:type="dxa"/>
            <w:vAlign w:val="center"/>
          </w:tcPr>
          <w:p w14:paraId="029A7794" w14:textId="01EBA153" w:rsidR="00CC5365" w:rsidRDefault="00975DFD" w:rsidP="0054042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00061698</w:t>
            </w:r>
          </w:p>
        </w:tc>
      </w:tr>
      <w:tr w:rsidR="00CC5365" w14:paraId="09F95B90" w14:textId="77777777" w:rsidTr="0054042D">
        <w:trPr>
          <w:trHeight w:val="460"/>
        </w:trPr>
        <w:tc>
          <w:tcPr>
            <w:tcW w:w="2876" w:type="dxa"/>
            <w:shd w:val="clear" w:color="auto" w:fill="D9D9D9"/>
            <w:vAlign w:val="center"/>
          </w:tcPr>
          <w:p w14:paraId="04A5ED0B" w14:textId="77777777" w:rsidR="00CC5365" w:rsidRDefault="00986BAC" w:rsidP="0054042D">
            <w:pPr>
              <w:pStyle w:val="TableParagraph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5"/>
              </w:rPr>
              <w:t xml:space="preserve"> To</w:t>
            </w:r>
          </w:p>
        </w:tc>
        <w:tc>
          <w:tcPr>
            <w:tcW w:w="6198" w:type="dxa"/>
            <w:vAlign w:val="center"/>
          </w:tcPr>
          <w:p w14:paraId="6C8373AB" w14:textId="1541D260" w:rsidR="00CC5365" w:rsidRDefault="00AC0F8B" w:rsidP="00486265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486265">
              <w:rPr>
                <w:spacing w:val="-2"/>
                <w:sz w:val="20"/>
              </w:rPr>
              <w:t>Executive Officer</w:t>
            </w:r>
          </w:p>
        </w:tc>
      </w:tr>
      <w:tr w:rsidR="00CC5365" w14:paraId="44EDBC2B" w14:textId="77777777" w:rsidTr="0054042D">
        <w:trPr>
          <w:trHeight w:val="460"/>
        </w:trPr>
        <w:tc>
          <w:tcPr>
            <w:tcW w:w="2876" w:type="dxa"/>
            <w:shd w:val="clear" w:color="auto" w:fill="D9D9D9"/>
            <w:vAlign w:val="center"/>
          </w:tcPr>
          <w:p w14:paraId="3E3A6147" w14:textId="77777777" w:rsidR="00CC5365" w:rsidRDefault="00986BAC" w:rsidP="0054042D">
            <w:pPr>
              <w:pStyle w:val="TableParagraph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6198" w:type="dxa"/>
            <w:vAlign w:val="center"/>
          </w:tcPr>
          <w:p w14:paraId="60B2C2F3" w14:textId="0C6B6766" w:rsidR="00CC5365" w:rsidRDefault="00D94132" w:rsidP="0054042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Fixed Term </w:t>
            </w:r>
          </w:p>
        </w:tc>
      </w:tr>
    </w:tbl>
    <w:p w14:paraId="6F5899EE" w14:textId="77777777" w:rsidR="00CC5365" w:rsidRDefault="00CC5365">
      <w:pPr>
        <w:pStyle w:val="BodyText"/>
        <w:spacing w:before="144"/>
        <w:rPr>
          <w:rFonts w:ascii="Times New Roman"/>
          <w:sz w:val="24"/>
        </w:rPr>
      </w:pPr>
    </w:p>
    <w:p w14:paraId="35163746" w14:textId="77777777" w:rsidR="00CC5365" w:rsidRDefault="00986BAC" w:rsidP="0054042D">
      <w:pPr>
        <w:pStyle w:val="Heading1"/>
        <w:numPr>
          <w:ilvl w:val="0"/>
          <w:numId w:val="1"/>
        </w:numPr>
        <w:tabs>
          <w:tab w:val="left" w:pos="1001"/>
        </w:tabs>
        <w:spacing w:line="276" w:lineRule="auto"/>
        <w:ind w:left="1001" w:hanging="719"/>
        <w:jc w:val="both"/>
      </w:pPr>
      <w:r>
        <w:rPr>
          <w:color w:val="E10917"/>
        </w:rPr>
        <w:t>Position</w:t>
      </w:r>
      <w:r>
        <w:rPr>
          <w:color w:val="E10917"/>
          <w:spacing w:val="-6"/>
        </w:rPr>
        <w:t xml:space="preserve"> </w:t>
      </w:r>
      <w:r>
        <w:rPr>
          <w:color w:val="E10917"/>
          <w:spacing w:val="-2"/>
        </w:rPr>
        <w:t>Purpose</w:t>
      </w:r>
    </w:p>
    <w:p w14:paraId="30533CFE" w14:textId="585C1644" w:rsidR="00CC5365" w:rsidRDefault="00986BAC" w:rsidP="0054042D">
      <w:pPr>
        <w:pStyle w:val="BodyText"/>
        <w:spacing w:before="240" w:line="276" w:lineRule="auto"/>
        <w:ind w:left="993" w:right="1396"/>
        <w:jc w:val="both"/>
      </w:pPr>
      <w:r>
        <w:t xml:space="preserve">The portfolio of the </w:t>
      </w:r>
      <w:r w:rsidR="009C49C4">
        <w:t xml:space="preserve">Deputy </w:t>
      </w:r>
      <w:r>
        <w:t>Vice Chancellor (Indigenous) (</w:t>
      </w:r>
      <w:r w:rsidR="009C49C4">
        <w:t>D</w:t>
      </w:r>
      <w:r>
        <w:t>VC(I)) leads, coordinates, promotes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all aspects of the University’s activity and initiatives in First Peoples learning and teaching,</w:t>
      </w:r>
      <w:r>
        <w:rPr>
          <w:spacing w:val="-4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innovation,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Griffith’s</w:t>
      </w:r>
      <w:r>
        <w:rPr>
          <w:spacing w:val="-4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plans. The</w:t>
      </w:r>
      <w:r>
        <w:rPr>
          <w:spacing w:val="-6"/>
        </w:rPr>
        <w:t xml:space="preserve"> </w:t>
      </w:r>
      <w:r w:rsidR="009C49C4">
        <w:t>D</w:t>
      </w:r>
      <w:r>
        <w:t>VC(I)</w:t>
      </w:r>
      <w:r>
        <w:rPr>
          <w:spacing w:val="-4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9C49C4">
        <w:t>DVC</w:t>
      </w:r>
      <w:r>
        <w:t>(I),</w:t>
      </w:r>
      <w:r>
        <w:rPr>
          <w:spacing w:val="-5"/>
        </w:rPr>
        <w:t xml:space="preserve"> </w:t>
      </w:r>
      <w:r>
        <w:t>GUMURRII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 Unit, Indigenous Research Unit and</w:t>
      </w:r>
      <w:r w:rsidR="009C49C4">
        <w:t xml:space="preserve"> </w:t>
      </w:r>
      <w:r w:rsidR="00AC0F8B">
        <w:t xml:space="preserve">the </w:t>
      </w:r>
      <w:r w:rsidR="009C49C4">
        <w:t>Māori and Pasifika</w:t>
      </w:r>
      <w:r>
        <w:t xml:space="preserve"> </w:t>
      </w:r>
      <w:r w:rsidR="00AC0F8B">
        <w:t>Engagement team</w:t>
      </w:r>
      <w:r>
        <w:t>.</w:t>
      </w:r>
    </w:p>
    <w:p w14:paraId="3E0A1F55" w14:textId="77777777" w:rsidR="0054042D" w:rsidRDefault="0054042D" w:rsidP="0054042D">
      <w:pPr>
        <w:pStyle w:val="BodyText"/>
        <w:spacing w:line="276" w:lineRule="auto"/>
        <w:ind w:left="993" w:right="1396"/>
        <w:jc w:val="both"/>
      </w:pPr>
    </w:p>
    <w:p w14:paraId="04579779" w14:textId="77777777" w:rsidR="00CC5365" w:rsidRDefault="00986BAC" w:rsidP="0054042D">
      <w:pPr>
        <w:pStyle w:val="BodyText"/>
        <w:spacing w:line="276" w:lineRule="auto"/>
        <w:ind w:left="993" w:right="1396"/>
        <w:jc w:val="both"/>
      </w:pPr>
      <w:r>
        <w:t>GUMURRII</w:t>
      </w:r>
      <w:r>
        <w:rPr>
          <w:spacing w:val="-4"/>
        </w:rPr>
        <w:t xml:space="preserve"> </w:t>
      </w:r>
      <w:r>
        <w:t>exists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Griffith</w:t>
      </w:r>
      <w:r>
        <w:rPr>
          <w:spacing w:val="-6"/>
        </w:rPr>
        <w:t xml:space="preserve"> </w:t>
      </w:r>
      <w:r>
        <w:t>University’s</w:t>
      </w:r>
      <w:r>
        <w:rPr>
          <w:spacing w:val="-3"/>
        </w:rPr>
        <w:t xml:space="preserve"> </w:t>
      </w:r>
      <w:r>
        <w:t>Aboriginal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Torres</w:t>
      </w:r>
      <w:r>
        <w:rPr>
          <w:spacing w:val="-4"/>
        </w:rPr>
        <w:t xml:space="preserve"> </w:t>
      </w:r>
      <w:r>
        <w:t>strait</w:t>
      </w:r>
      <w:r>
        <w:rPr>
          <w:spacing w:val="-5"/>
        </w:rPr>
        <w:t xml:space="preserve"> </w:t>
      </w:r>
      <w:r>
        <w:t>Islander student success. With learning centres and staff based on all five campuses, GUMURRII supports one of the largest cohorts of First Peoples students at an Australian University.</w:t>
      </w:r>
    </w:p>
    <w:p w14:paraId="2846CD97" w14:textId="017DB724" w:rsidR="009C49C4" w:rsidRDefault="00A265F9" w:rsidP="0054042D">
      <w:pPr>
        <w:pStyle w:val="BodyText"/>
        <w:spacing w:line="276" w:lineRule="auto"/>
        <w:ind w:left="993" w:right="1396"/>
        <w:jc w:val="both"/>
      </w:pPr>
      <w:r>
        <w:t xml:space="preserve">The </w:t>
      </w:r>
      <w:r w:rsidR="009C49C4">
        <w:t xml:space="preserve">Māori and Pasifika </w:t>
      </w:r>
      <w:r>
        <w:t xml:space="preserve">Engagement team help deliver on Griffith’s commitment to </w:t>
      </w:r>
      <w:r w:rsidR="009C49C4">
        <w:t>diversity and inclusion</w:t>
      </w:r>
      <w:r>
        <w:t xml:space="preserve">. Based at our Logan campus, in one of Australia’s largest populations of Māori and Pasifika people, the team manage a program of outreach for prospective students and community and connect with current students. </w:t>
      </w:r>
      <w:r w:rsidR="009C49C4">
        <w:t xml:space="preserve"> </w:t>
      </w:r>
    </w:p>
    <w:p w14:paraId="0D06769E" w14:textId="77777777" w:rsidR="0054042D" w:rsidRDefault="0054042D" w:rsidP="0054042D">
      <w:pPr>
        <w:pStyle w:val="BodyText"/>
        <w:spacing w:line="276" w:lineRule="auto"/>
        <w:ind w:left="993" w:right="1396"/>
        <w:jc w:val="both"/>
      </w:pPr>
    </w:p>
    <w:p w14:paraId="2F5A9D1A" w14:textId="5729DD16" w:rsidR="00CC5365" w:rsidRDefault="00986BAC" w:rsidP="0054042D">
      <w:pPr>
        <w:pStyle w:val="BodyText"/>
        <w:spacing w:line="276" w:lineRule="auto"/>
        <w:ind w:left="993" w:right="1396"/>
        <w:jc w:val="both"/>
      </w:pPr>
      <w:r>
        <w:t>Working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 w:rsidR="0054042D">
        <w:t xml:space="preserve"> </w:t>
      </w:r>
      <w:r w:rsidR="00A072F6">
        <w:t>Indigenous Engagement Coordinator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is responsible for providing administrative assistance and support to the</w:t>
      </w:r>
      <w:r w:rsidR="009C49C4">
        <w:t xml:space="preserve"> </w:t>
      </w:r>
      <w:r>
        <w:t>GUMURRII Student Success Unit (SSU)</w:t>
      </w:r>
      <w:r w:rsidR="009C49C4">
        <w:t>,</w:t>
      </w:r>
      <w:r w:rsidR="009C49C4" w:rsidRPr="009C49C4">
        <w:t xml:space="preserve"> </w:t>
      </w:r>
      <w:r w:rsidR="009C49C4">
        <w:t>Māori and Pasifika</w:t>
      </w:r>
      <w:r w:rsidR="00A265F9">
        <w:t xml:space="preserve"> Engagement team</w:t>
      </w:r>
      <w:r>
        <w:t xml:space="preserve"> and </w:t>
      </w:r>
      <w:r w:rsidR="00A265F9">
        <w:t xml:space="preserve">the </w:t>
      </w:r>
      <w:r w:rsidR="009C49C4">
        <w:t xml:space="preserve">DVC(I) </w:t>
      </w:r>
      <w:r>
        <w:t>portfolio’s day to day operations.</w:t>
      </w:r>
    </w:p>
    <w:p w14:paraId="67BEBE92" w14:textId="77777777" w:rsidR="0054042D" w:rsidRDefault="0054042D" w:rsidP="0054042D">
      <w:pPr>
        <w:pStyle w:val="BodyText"/>
        <w:spacing w:line="276" w:lineRule="auto"/>
        <w:ind w:left="993" w:right="1396"/>
        <w:jc w:val="both"/>
      </w:pPr>
    </w:p>
    <w:p w14:paraId="4249C55D" w14:textId="77777777" w:rsidR="00CC5365" w:rsidRDefault="00986BAC" w:rsidP="0054042D">
      <w:pPr>
        <w:pStyle w:val="Heading1"/>
        <w:numPr>
          <w:ilvl w:val="0"/>
          <w:numId w:val="1"/>
        </w:numPr>
        <w:tabs>
          <w:tab w:val="left" w:pos="1001"/>
        </w:tabs>
        <w:spacing w:line="276" w:lineRule="auto"/>
        <w:ind w:left="1001" w:hanging="719"/>
        <w:jc w:val="both"/>
      </w:pPr>
      <w:r>
        <w:rPr>
          <w:color w:val="E10917"/>
        </w:rPr>
        <w:t>Eligibility</w:t>
      </w:r>
      <w:r>
        <w:rPr>
          <w:color w:val="E10917"/>
          <w:spacing w:val="-7"/>
        </w:rPr>
        <w:t xml:space="preserve"> </w:t>
      </w:r>
      <w:r>
        <w:rPr>
          <w:color w:val="E10917"/>
          <w:spacing w:val="-2"/>
        </w:rPr>
        <w:t>Requirements</w:t>
      </w:r>
    </w:p>
    <w:p w14:paraId="23254F3D" w14:textId="30C85336" w:rsidR="00CC5365" w:rsidRDefault="00986BAC" w:rsidP="0054042D">
      <w:pPr>
        <w:pStyle w:val="ListParagraph"/>
        <w:numPr>
          <w:ilvl w:val="1"/>
          <w:numId w:val="1"/>
        </w:numPr>
        <w:tabs>
          <w:tab w:val="left" w:pos="1321"/>
        </w:tabs>
        <w:spacing w:line="276" w:lineRule="auto"/>
        <w:ind w:right="2494"/>
        <w:jc w:val="both"/>
        <w:rPr>
          <w:sz w:val="20"/>
        </w:rPr>
      </w:pPr>
      <w:r>
        <w:rPr>
          <w:sz w:val="20"/>
        </w:rPr>
        <w:t>The occupant of this position will hold a completion of a degree without subsequent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 minimum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associate</w:t>
      </w:r>
      <w:r>
        <w:rPr>
          <w:spacing w:val="-5"/>
          <w:sz w:val="20"/>
        </w:rPr>
        <w:t xml:space="preserve"> </w:t>
      </w:r>
      <w:r>
        <w:rPr>
          <w:sz w:val="20"/>
        </w:rPr>
        <w:t>diploma qualification and at least two years relevant work experience, or an equivalent combination of relevant skills, knowledge and experience.</w:t>
      </w:r>
    </w:p>
    <w:p w14:paraId="2917D667" w14:textId="77777777" w:rsidR="0054042D" w:rsidRDefault="0054042D" w:rsidP="0054042D">
      <w:pPr>
        <w:pStyle w:val="ListParagraph"/>
        <w:tabs>
          <w:tab w:val="left" w:pos="1321"/>
        </w:tabs>
        <w:spacing w:before="0" w:line="276" w:lineRule="auto"/>
        <w:ind w:right="2494" w:firstLine="0"/>
        <w:jc w:val="both"/>
        <w:rPr>
          <w:sz w:val="20"/>
        </w:rPr>
      </w:pPr>
    </w:p>
    <w:p w14:paraId="573C6891" w14:textId="77777777" w:rsidR="0054042D" w:rsidRDefault="0054042D" w:rsidP="0054042D">
      <w:pPr>
        <w:pStyle w:val="ListParagraph"/>
        <w:tabs>
          <w:tab w:val="left" w:pos="1321"/>
        </w:tabs>
        <w:spacing w:before="0" w:line="276" w:lineRule="auto"/>
        <w:ind w:right="2494" w:firstLine="0"/>
        <w:jc w:val="both"/>
        <w:rPr>
          <w:sz w:val="20"/>
        </w:rPr>
      </w:pPr>
    </w:p>
    <w:p w14:paraId="46E11101" w14:textId="77777777" w:rsidR="0054042D" w:rsidRDefault="0054042D" w:rsidP="0054042D">
      <w:pPr>
        <w:pStyle w:val="ListParagraph"/>
        <w:tabs>
          <w:tab w:val="left" w:pos="1321"/>
        </w:tabs>
        <w:spacing w:before="0" w:line="276" w:lineRule="auto"/>
        <w:ind w:right="2494" w:firstLine="0"/>
        <w:jc w:val="both"/>
        <w:rPr>
          <w:sz w:val="20"/>
        </w:rPr>
      </w:pPr>
    </w:p>
    <w:p w14:paraId="45A1F51E" w14:textId="1413DE49" w:rsidR="00CC5365" w:rsidRPr="0054042D" w:rsidRDefault="00986BAC" w:rsidP="0054042D">
      <w:pPr>
        <w:pStyle w:val="Heading1"/>
        <w:numPr>
          <w:ilvl w:val="0"/>
          <w:numId w:val="1"/>
        </w:numPr>
        <w:tabs>
          <w:tab w:val="left" w:pos="1001"/>
        </w:tabs>
        <w:spacing w:line="276" w:lineRule="auto"/>
        <w:ind w:left="1001" w:hanging="719"/>
        <w:jc w:val="both"/>
      </w:pPr>
      <w:r>
        <w:rPr>
          <w:color w:val="E10917"/>
        </w:rPr>
        <w:lastRenderedPageBreak/>
        <w:t xml:space="preserve">Key </w:t>
      </w:r>
      <w:r>
        <w:rPr>
          <w:color w:val="E10917"/>
          <w:spacing w:val="-2"/>
        </w:rPr>
        <w:t>Responsibilities</w:t>
      </w:r>
    </w:p>
    <w:p w14:paraId="714561E7" w14:textId="4DC9801F" w:rsidR="00CC5365" w:rsidRDefault="00986BAC" w:rsidP="0054042D">
      <w:pPr>
        <w:pStyle w:val="ListParagraph"/>
        <w:numPr>
          <w:ilvl w:val="1"/>
          <w:numId w:val="1"/>
        </w:numPr>
        <w:tabs>
          <w:tab w:val="left" w:pos="1321"/>
        </w:tabs>
        <w:spacing w:line="276" w:lineRule="auto"/>
        <w:ind w:right="2135"/>
        <w:jc w:val="both"/>
        <w:rPr>
          <w:sz w:val="20"/>
        </w:rPr>
      </w:pPr>
      <w:r>
        <w:rPr>
          <w:sz w:val="20"/>
        </w:rPr>
        <w:t xml:space="preserve">Provide general administrative support </w:t>
      </w:r>
      <w:r w:rsidR="00A265F9">
        <w:rPr>
          <w:sz w:val="20"/>
        </w:rPr>
        <w:t>to</w:t>
      </w:r>
      <w:r>
        <w:rPr>
          <w:sz w:val="20"/>
        </w:rPr>
        <w:t xml:space="preserve"> the GUMURRII SSU</w:t>
      </w:r>
      <w:r w:rsidR="00A265F9">
        <w:rPr>
          <w:sz w:val="20"/>
        </w:rPr>
        <w:t xml:space="preserve"> outreach team</w:t>
      </w:r>
      <w:r w:rsidR="00295122">
        <w:rPr>
          <w:sz w:val="20"/>
        </w:rPr>
        <w:t xml:space="preserve">, </w:t>
      </w:r>
      <w:r w:rsidR="00A265F9">
        <w:rPr>
          <w:sz w:val="20"/>
        </w:rPr>
        <w:t xml:space="preserve">the </w:t>
      </w:r>
      <w:r w:rsidR="00295122" w:rsidRPr="0054042D">
        <w:rPr>
          <w:sz w:val="20"/>
        </w:rPr>
        <w:t xml:space="preserve">Māori and Pasifika </w:t>
      </w:r>
      <w:r w:rsidR="00A265F9">
        <w:rPr>
          <w:sz w:val="20"/>
        </w:rPr>
        <w:t>Engagement team</w:t>
      </w:r>
      <w:r>
        <w:rPr>
          <w:sz w:val="20"/>
        </w:rPr>
        <w:t xml:space="preserve"> and the </w:t>
      </w:r>
      <w:r w:rsidR="00295122">
        <w:rPr>
          <w:sz w:val="20"/>
        </w:rPr>
        <w:t>D</w:t>
      </w:r>
      <w:r>
        <w:rPr>
          <w:sz w:val="20"/>
        </w:rPr>
        <w:t>VC(I)</w:t>
      </w:r>
      <w:r w:rsidRPr="0054042D">
        <w:rPr>
          <w:sz w:val="20"/>
        </w:rPr>
        <w:t xml:space="preserve"> </w:t>
      </w:r>
      <w:r>
        <w:rPr>
          <w:sz w:val="20"/>
        </w:rPr>
        <w:t>portfolio</w:t>
      </w:r>
      <w:r w:rsidRPr="0054042D">
        <w:rPr>
          <w:sz w:val="20"/>
        </w:rPr>
        <w:t xml:space="preserve"> </w:t>
      </w:r>
      <w:r>
        <w:rPr>
          <w:sz w:val="20"/>
        </w:rPr>
        <w:t>including</w:t>
      </w:r>
      <w:r w:rsidRPr="0054042D">
        <w:rPr>
          <w:sz w:val="20"/>
        </w:rPr>
        <w:t xml:space="preserve"> </w:t>
      </w:r>
      <w:r>
        <w:rPr>
          <w:sz w:val="20"/>
        </w:rPr>
        <w:t>diary</w:t>
      </w:r>
      <w:r w:rsidRPr="0054042D">
        <w:rPr>
          <w:sz w:val="20"/>
        </w:rPr>
        <w:t xml:space="preserve"> </w:t>
      </w:r>
      <w:r>
        <w:rPr>
          <w:sz w:val="20"/>
        </w:rPr>
        <w:t>and</w:t>
      </w:r>
      <w:r w:rsidRPr="0054042D">
        <w:rPr>
          <w:sz w:val="20"/>
        </w:rPr>
        <w:t xml:space="preserve"> </w:t>
      </w:r>
      <w:r>
        <w:rPr>
          <w:sz w:val="20"/>
        </w:rPr>
        <w:t>travel</w:t>
      </w:r>
      <w:r w:rsidRPr="0054042D">
        <w:rPr>
          <w:sz w:val="20"/>
        </w:rPr>
        <w:t xml:space="preserve"> </w:t>
      </w:r>
      <w:r>
        <w:rPr>
          <w:sz w:val="20"/>
        </w:rPr>
        <w:t>management,</w:t>
      </w:r>
      <w:r>
        <w:rPr>
          <w:spacing w:val="-6"/>
          <w:sz w:val="20"/>
        </w:rPr>
        <w:t xml:space="preserve"> </w:t>
      </w:r>
      <w:r>
        <w:rPr>
          <w:sz w:val="20"/>
        </w:rPr>
        <w:t>record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management, managing the flow of information, maintaining and reviewing administrative processes and making suggestions for improvement.</w:t>
      </w:r>
    </w:p>
    <w:p w14:paraId="0DC9CB3D" w14:textId="3A2C50E6" w:rsidR="00CC5365" w:rsidRDefault="00986BAC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>
        <w:rPr>
          <w:sz w:val="20"/>
        </w:rPr>
        <w:t>Administration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GUMURRII</w:t>
      </w:r>
      <w:r w:rsidRPr="0054042D">
        <w:rPr>
          <w:sz w:val="20"/>
        </w:rPr>
        <w:t xml:space="preserve"> </w:t>
      </w:r>
      <w:r>
        <w:rPr>
          <w:sz w:val="20"/>
        </w:rPr>
        <w:t>SSU’s</w:t>
      </w:r>
      <w:r w:rsidR="00295122">
        <w:rPr>
          <w:sz w:val="20"/>
        </w:rPr>
        <w:t xml:space="preserve">, </w:t>
      </w:r>
      <w:r w:rsidR="00295122" w:rsidRPr="0054042D">
        <w:rPr>
          <w:sz w:val="20"/>
        </w:rPr>
        <w:t>Māori and Pasifika</w:t>
      </w:r>
      <w:r w:rsidR="00A265F9">
        <w:rPr>
          <w:sz w:val="20"/>
        </w:rPr>
        <w:t xml:space="preserve"> Engagement teams</w:t>
      </w:r>
      <w:r w:rsidRPr="0054042D">
        <w:rPr>
          <w:sz w:val="20"/>
        </w:rPr>
        <w:t xml:space="preserve"> </w:t>
      </w:r>
      <w:r>
        <w:rPr>
          <w:sz w:val="20"/>
        </w:rPr>
        <w:t>and</w:t>
      </w:r>
      <w:r w:rsidRPr="0054042D">
        <w:rPr>
          <w:sz w:val="20"/>
        </w:rPr>
        <w:t xml:space="preserve"> </w:t>
      </w:r>
      <w:r w:rsidR="00295122">
        <w:rPr>
          <w:sz w:val="20"/>
        </w:rPr>
        <w:t>D</w:t>
      </w:r>
      <w:r>
        <w:rPr>
          <w:sz w:val="20"/>
        </w:rPr>
        <w:t>VC(I)’s</w:t>
      </w:r>
      <w:r w:rsidRPr="0054042D">
        <w:rPr>
          <w:sz w:val="20"/>
        </w:rPr>
        <w:t xml:space="preserve"> </w:t>
      </w:r>
      <w:r>
        <w:rPr>
          <w:sz w:val="20"/>
        </w:rPr>
        <w:t>activities</w:t>
      </w:r>
      <w:r w:rsidRPr="0054042D">
        <w:rPr>
          <w:sz w:val="20"/>
        </w:rPr>
        <w:t xml:space="preserve"> </w:t>
      </w:r>
      <w:r>
        <w:rPr>
          <w:sz w:val="20"/>
        </w:rPr>
        <w:t>and</w:t>
      </w:r>
      <w:r w:rsidRPr="0054042D">
        <w:rPr>
          <w:sz w:val="20"/>
        </w:rPr>
        <w:t xml:space="preserve"> </w:t>
      </w:r>
      <w:r>
        <w:rPr>
          <w:sz w:val="20"/>
        </w:rPr>
        <w:t>events including</w:t>
      </w:r>
      <w:r w:rsidR="00A265F9">
        <w:rPr>
          <w:sz w:val="20"/>
        </w:rPr>
        <w:t xml:space="preserve"> outreach programs,</w:t>
      </w:r>
      <w:r w:rsidR="0054042D">
        <w:rPr>
          <w:sz w:val="20"/>
        </w:rPr>
        <w:t xml:space="preserve"> </w:t>
      </w:r>
      <w:r>
        <w:rPr>
          <w:sz w:val="20"/>
        </w:rPr>
        <w:t xml:space="preserve">conferences, public lectures, seminars, publications, recordings and </w:t>
      </w:r>
      <w:r w:rsidR="00295122">
        <w:rPr>
          <w:sz w:val="20"/>
        </w:rPr>
        <w:t>promotion via</w:t>
      </w:r>
      <w:r>
        <w:rPr>
          <w:sz w:val="20"/>
        </w:rPr>
        <w:t xml:space="preserve"> </w:t>
      </w:r>
      <w:r w:rsidR="00295122">
        <w:rPr>
          <w:sz w:val="20"/>
        </w:rPr>
        <w:t>social media accounts</w:t>
      </w:r>
      <w:r>
        <w:rPr>
          <w:sz w:val="20"/>
        </w:rPr>
        <w:t>.</w:t>
      </w:r>
    </w:p>
    <w:p w14:paraId="2AE86374" w14:textId="6909797A" w:rsidR="0054042D" w:rsidRDefault="00986BAC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 w:rsidRPr="0054042D">
        <w:rPr>
          <w:sz w:val="20"/>
        </w:rPr>
        <w:t>Provide</w:t>
      </w:r>
      <w:r w:rsidRPr="0054042D">
        <w:rPr>
          <w:spacing w:val="-5"/>
          <w:sz w:val="20"/>
        </w:rPr>
        <w:t xml:space="preserve"> </w:t>
      </w:r>
      <w:r w:rsidRPr="0054042D">
        <w:rPr>
          <w:sz w:val="20"/>
        </w:rPr>
        <w:t>administrative</w:t>
      </w:r>
      <w:r w:rsidRPr="0054042D">
        <w:rPr>
          <w:spacing w:val="-5"/>
          <w:sz w:val="20"/>
        </w:rPr>
        <w:t xml:space="preserve"> </w:t>
      </w:r>
      <w:r w:rsidRPr="0054042D">
        <w:rPr>
          <w:sz w:val="20"/>
        </w:rPr>
        <w:t>support</w:t>
      </w:r>
      <w:r w:rsidRPr="0054042D">
        <w:rPr>
          <w:spacing w:val="-5"/>
          <w:sz w:val="20"/>
        </w:rPr>
        <w:t xml:space="preserve"> </w:t>
      </w:r>
      <w:r w:rsidRPr="0054042D">
        <w:rPr>
          <w:sz w:val="20"/>
        </w:rPr>
        <w:t>in</w:t>
      </w:r>
      <w:r w:rsidRPr="0054042D">
        <w:rPr>
          <w:spacing w:val="-5"/>
          <w:sz w:val="20"/>
        </w:rPr>
        <w:t xml:space="preserve"> </w:t>
      </w:r>
      <w:r w:rsidRPr="0054042D">
        <w:rPr>
          <w:sz w:val="20"/>
        </w:rPr>
        <w:t>the</w:t>
      </w:r>
      <w:r w:rsidRPr="0054042D">
        <w:rPr>
          <w:spacing w:val="-5"/>
          <w:sz w:val="20"/>
        </w:rPr>
        <w:t xml:space="preserve"> </w:t>
      </w:r>
      <w:r w:rsidRPr="0054042D">
        <w:rPr>
          <w:sz w:val="20"/>
        </w:rPr>
        <w:t>management</w:t>
      </w:r>
      <w:r w:rsidRPr="0054042D">
        <w:rPr>
          <w:spacing w:val="-4"/>
          <w:sz w:val="20"/>
        </w:rPr>
        <w:t xml:space="preserve"> </w:t>
      </w:r>
      <w:r w:rsidRPr="0054042D">
        <w:rPr>
          <w:sz w:val="20"/>
        </w:rPr>
        <w:t>of</w:t>
      </w:r>
      <w:r w:rsidRPr="0054042D">
        <w:rPr>
          <w:spacing w:val="-5"/>
          <w:sz w:val="20"/>
        </w:rPr>
        <w:t xml:space="preserve"> </w:t>
      </w:r>
      <w:r w:rsidRPr="0054042D">
        <w:rPr>
          <w:sz w:val="20"/>
        </w:rPr>
        <w:t>the</w:t>
      </w:r>
      <w:r w:rsidRPr="0054042D">
        <w:rPr>
          <w:spacing w:val="-1"/>
          <w:sz w:val="20"/>
        </w:rPr>
        <w:t xml:space="preserve"> </w:t>
      </w:r>
      <w:r w:rsidRPr="0054042D">
        <w:rPr>
          <w:sz w:val="20"/>
        </w:rPr>
        <w:t>portfolio’s</w:t>
      </w:r>
      <w:r w:rsidRPr="0054042D">
        <w:rPr>
          <w:spacing w:val="-4"/>
          <w:sz w:val="20"/>
        </w:rPr>
        <w:t xml:space="preserve"> </w:t>
      </w:r>
      <w:r w:rsidRPr="0054042D">
        <w:rPr>
          <w:sz w:val="20"/>
        </w:rPr>
        <w:t xml:space="preserve">website including assisting with updating </w:t>
      </w:r>
      <w:r w:rsidR="00295122" w:rsidRPr="0054042D">
        <w:rPr>
          <w:sz w:val="20"/>
        </w:rPr>
        <w:t>content</w:t>
      </w:r>
      <w:r w:rsidRPr="0054042D">
        <w:rPr>
          <w:sz w:val="20"/>
        </w:rPr>
        <w:t>.</w:t>
      </w:r>
      <w:r w:rsidR="0054042D"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48698512" wp14:editId="55B07BFB">
                <wp:simplePos x="0" y="0"/>
                <wp:positionH relativeFrom="page">
                  <wp:posOffset>6350</wp:posOffset>
                </wp:positionH>
                <wp:positionV relativeFrom="page">
                  <wp:posOffset>7245350</wp:posOffset>
                </wp:positionV>
                <wp:extent cx="3448685" cy="3447415"/>
                <wp:effectExtent l="0" t="0" r="0" b="0"/>
                <wp:wrapNone/>
                <wp:docPr id="880626471" name="Group 880626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8685" cy="3447415"/>
                          <a:chOff x="0" y="0"/>
                          <a:chExt cx="3448685" cy="3447415"/>
                        </a:xfrm>
                      </wpg:grpSpPr>
                      <wps:wsp>
                        <wps:cNvPr id="1371060260" name="Graphic 9"/>
                        <wps:cNvSpPr/>
                        <wps:spPr>
                          <a:xfrm>
                            <a:off x="1270" y="0"/>
                            <a:ext cx="3447415" cy="344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7415" h="3447415">
                                <a:moveTo>
                                  <a:pt x="0" y="0"/>
                                </a:moveTo>
                                <a:lnTo>
                                  <a:pt x="0" y="3447034"/>
                                </a:lnTo>
                                <a:lnTo>
                                  <a:pt x="3447035" y="3447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5646" name="Graphic 10"/>
                        <wps:cNvSpPr/>
                        <wps:spPr>
                          <a:xfrm>
                            <a:off x="0" y="13970"/>
                            <a:ext cx="1280795" cy="234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795" h="2349500">
                                <a:moveTo>
                                  <a:pt x="0" y="0"/>
                                </a:moveTo>
                                <a:lnTo>
                                  <a:pt x="0" y="2349499"/>
                                </a:lnTo>
                                <a:lnTo>
                                  <a:pt x="1280795" y="1268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867B0" id="Group 880626471" o:spid="_x0000_s1026" style="position:absolute;margin-left:.5pt;margin-top:570.5pt;width:271.55pt;height:271.45pt;z-index:-251659264;mso-wrap-distance-left:0;mso-wrap-distance-right:0;mso-position-horizontal-relative:page;mso-position-vertical-relative:page" coordsize="34486,3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">
                <v:shape id="Graphic 9" o:spid="_x0000_s1027" style="position:absolute;left:12;width:34474;height:34474;visibility:visible;mso-wrap-style:square;v-text-anchor:top" coordsize="3447415,344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" path="m,l,3447034r3447035,l,xe" fillcolor="#efefef" stroked="f">
                  <v:path arrowok="t"/>
                </v:shape>
                <v:shape id="Graphic 10" o:spid="_x0000_s1028" style="position:absolute;top:139;width:12807;height:23495;visibility:visible;mso-wrap-style:square;v-text-anchor:top" coordsize="1280795,234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" path="m,l,2349499,1280795,1268094,,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  <w:r w:rsidR="005F7B67">
        <w:rPr>
          <w:sz w:val="20"/>
        </w:rPr>
        <w:t xml:space="preserve"> </w:t>
      </w:r>
      <w:r w:rsidR="0054042D">
        <w:rPr>
          <w:sz w:val="20"/>
        </w:rPr>
        <w:t>Assist</w:t>
      </w:r>
      <w:r w:rsidR="0054042D">
        <w:rPr>
          <w:spacing w:val="-6"/>
          <w:sz w:val="20"/>
        </w:rPr>
        <w:t xml:space="preserve"> </w:t>
      </w:r>
      <w:r w:rsidR="0054042D">
        <w:rPr>
          <w:sz w:val="20"/>
        </w:rPr>
        <w:t>with</w:t>
      </w:r>
      <w:r w:rsidR="0054042D">
        <w:rPr>
          <w:spacing w:val="-6"/>
          <w:sz w:val="20"/>
        </w:rPr>
        <w:t xml:space="preserve"> </w:t>
      </w:r>
      <w:r w:rsidR="0054042D">
        <w:rPr>
          <w:sz w:val="20"/>
        </w:rPr>
        <w:t>data</w:t>
      </w:r>
      <w:r w:rsidR="0054042D">
        <w:rPr>
          <w:spacing w:val="-7"/>
          <w:sz w:val="20"/>
        </w:rPr>
        <w:t xml:space="preserve"> </w:t>
      </w:r>
      <w:r w:rsidR="0054042D">
        <w:rPr>
          <w:sz w:val="20"/>
        </w:rPr>
        <w:t>collection,</w:t>
      </w:r>
      <w:r w:rsidR="0054042D">
        <w:rPr>
          <w:spacing w:val="-4"/>
          <w:sz w:val="20"/>
        </w:rPr>
        <w:t xml:space="preserve"> </w:t>
      </w:r>
      <w:r w:rsidR="0054042D">
        <w:rPr>
          <w:sz w:val="20"/>
        </w:rPr>
        <w:t>preparation</w:t>
      </w:r>
      <w:r w:rsidR="0054042D">
        <w:rPr>
          <w:spacing w:val="-6"/>
          <w:sz w:val="20"/>
        </w:rPr>
        <w:t xml:space="preserve"> </w:t>
      </w:r>
      <w:r w:rsidR="0054042D">
        <w:rPr>
          <w:sz w:val="20"/>
        </w:rPr>
        <w:t>and</w:t>
      </w:r>
      <w:r w:rsidR="0054042D">
        <w:rPr>
          <w:spacing w:val="-6"/>
          <w:sz w:val="20"/>
        </w:rPr>
        <w:t xml:space="preserve"> </w:t>
      </w:r>
      <w:r w:rsidR="0054042D">
        <w:rPr>
          <w:sz w:val="20"/>
        </w:rPr>
        <w:t>formatting</w:t>
      </w:r>
      <w:r w:rsidR="0054042D">
        <w:rPr>
          <w:spacing w:val="-4"/>
          <w:sz w:val="20"/>
        </w:rPr>
        <w:t xml:space="preserve"> </w:t>
      </w:r>
      <w:r w:rsidR="0054042D">
        <w:rPr>
          <w:sz w:val="20"/>
        </w:rPr>
        <w:t>of</w:t>
      </w:r>
      <w:r w:rsidR="0054042D">
        <w:rPr>
          <w:spacing w:val="-6"/>
          <w:sz w:val="20"/>
        </w:rPr>
        <w:t xml:space="preserve"> </w:t>
      </w:r>
      <w:r w:rsidR="0054042D">
        <w:rPr>
          <w:sz w:val="20"/>
        </w:rPr>
        <w:t>correspondence, presentations, and reports in relation to activities within the portfolio.</w:t>
      </w:r>
    </w:p>
    <w:p w14:paraId="303C1682" w14:textId="77777777" w:rsidR="0054042D" w:rsidRDefault="0054042D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5"/>
          <w:sz w:val="20"/>
        </w:rPr>
        <w:t xml:space="preserve"> </w:t>
      </w:r>
      <w:r>
        <w:rPr>
          <w:sz w:val="20"/>
        </w:rPr>
        <w:t>material,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brochures, research papers and newsletters both electronically and in print.</w:t>
      </w:r>
    </w:p>
    <w:p w14:paraId="0C384A01" w14:textId="77777777" w:rsidR="0054042D" w:rsidRDefault="0054042D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>
        <w:rPr>
          <w:sz w:val="20"/>
        </w:rPr>
        <w:t xml:space="preserve">Support working parties within GUMURRII SSU, </w:t>
      </w:r>
      <w:r w:rsidRPr="000D5545">
        <w:rPr>
          <w:sz w:val="20"/>
        </w:rPr>
        <w:t xml:space="preserve">Māori and Pasifika </w:t>
      </w:r>
      <w:r>
        <w:rPr>
          <w:sz w:val="20"/>
        </w:rPr>
        <w:t>Engagement team DVC(I) and ad hoc committees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agendas</w:t>
      </w:r>
      <w:r>
        <w:rPr>
          <w:spacing w:val="-4"/>
          <w:sz w:val="20"/>
        </w:rPr>
        <w:t xml:space="preserve">, </w:t>
      </w:r>
      <w:r>
        <w:rPr>
          <w:sz w:val="20"/>
        </w:rPr>
        <w:t>minutes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ensure follow up of actions.</w:t>
      </w:r>
    </w:p>
    <w:p w14:paraId="667BB47E" w14:textId="77777777" w:rsidR="0054042D" w:rsidRDefault="0054042D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>
        <w:rPr>
          <w:sz w:val="20"/>
        </w:rPr>
        <w:t>M</w:t>
      </w:r>
      <w:r w:rsidRPr="003A4721">
        <w:rPr>
          <w:sz w:val="20"/>
        </w:rPr>
        <w:t>aintain databases and online systems, undertake procurement and financial transactions using the University’s finance systems (eg payment and invoice requests)</w:t>
      </w:r>
      <w:r>
        <w:rPr>
          <w:sz w:val="20"/>
        </w:rPr>
        <w:t>.</w:t>
      </w:r>
    </w:p>
    <w:p w14:paraId="32C84574" w14:textId="77777777" w:rsidR="0054042D" w:rsidRDefault="0054042D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>
        <w:rPr>
          <w:sz w:val="20"/>
        </w:rPr>
        <w:t>Liaise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Elements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external organisations/agents as required.</w:t>
      </w:r>
    </w:p>
    <w:p w14:paraId="481D3A66" w14:textId="77777777" w:rsidR="0054042D" w:rsidRDefault="0054042D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position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units of the DVC(I) portfolio, commensurate with the expectations of a role at this level, which contribute to the overall objectives of the work unit.</w:t>
      </w:r>
    </w:p>
    <w:p w14:paraId="24562AEE" w14:textId="77777777" w:rsidR="0054042D" w:rsidRDefault="0054042D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>
        <w:rPr>
          <w:sz w:val="20"/>
        </w:rPr>
        <w:t>Support compliance with relevant legislation and University policies and procedures,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equity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exhibit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4"/>
          <w:sz w:val="20"/>
        </w:rPr>
        <w:t xml:space="preserve"> </w:t>
      </w:r>
      <w:r>
        <w:rPr>
          <w:sz w:val="20"/>
        </w:rPr>
        <w:t>practice in relation to same.</w:t>
      </w:r>
    </w:p>
    <w:p w14:paraId="18B9B811" w14:textId="77777777" w:rsidR="0054042D" w:rsidRDefault="0054042D" w:rsidP="0054042D">
      <w:pPr>
        <w:pStyle w:val="ListParagraph"/>
        <w:numPr>
          <w:ilvl w:val="1"/>
          <w:numId w:val="1"/>
        </w:numPr>
        <w:tabs>
          <w:tab w:val="left" w:pos="1321"/>
        </w:tabs>
        <w:spacing w:before="0" w:line="276" w:lineRule="auto"/>
        <w:ind w:right="2135"/>
        <w:jc w:val="both"/>
        <w:rPr>
          <w:sz w:val="20"/>
        </w:rPr>
      </w:pPr>
      <w:r>
        <w:rPr>
          <w:sz w:val="20"/>
        </w:rPr>
        <w:t>Be a leading example of the principles and values embodied in the University’s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Conduct,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behave,</w:t>
      </w:r>
      <w:r>
        <w:rPr>
          <w:spacing w:val="-5"/>
          <w:sz w:val="20"/>
        </w:rPr>
        <w:t xml:space="preserve"> </w:t>
      </w:r>
      <w:r>
        <w:rPr>
          <w:sz w:val="20"/>
        </w:rPr>
        <w:t>act 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times to reflect fairness, ethics and professionalism.</w:t>
      </w:r>
    </w:p>
    <w:p w14:paraId="096B7FEB" w14:textId="77777777" w:rsidR="0054042D" w:rsidRDefault="0054042D" w:rsidP="0054042D">
      <w:pPr>
        <w:pStyle w:val="ListParagraph"/>
        <w:tabs>
          <w:tab w:val="left" w:pos="1321"/>
        </w:tabs>
        <w:spacing w:before="0" w:line="276" w:lineRule="auto"/>
        <w:ind w:right="2135" w:firstLine="0"/>
        <w:jc w:val="both"/>
        <w:rPr>
          <w:sz w:val="20"/>
        </w:rPr>
      </w:pPr>
    </w:p>
    <w:p w14:paraId="27D72238" w14:textId="77777777" w:rsidR="0054042D" w:rsidRDefault="0054042D" w:rsidP="0054042D">
      <w:pPr>
        <w:pStyle w:val="Heading1"/>
        <w:numPr>
          <w:ilvl w:val="0"/>
          <w:numId w:val="1"/>
        </w:numPr>
        <w:tabs>
          <w:tab w:val="left" w:pos="1001"/>
        </w:tabs>
        <w:spacing w:line="276" w:lineRule="auto"/>
        <w:ind w:left="1001" w:hanging="719"/>
        <w:jc w:val="both"/>
      </w:pPr>
      <w:r>
        <w:rPr>
          <w:color w:val="E10917"/>
        </w:rPr>
        <w:t xml:space="preserve">Key </w:t>
      </w:r>
      <w:r>
        <w:rPr>
          <w:color w:val="E10917"/>
          <w:spacing w:val="-2"/>
        </w:rPr>
        <w:t>Capabilities</w:t>
      </w:r>
    </w:p>
    <w:p w14:paraId="0348811C" w14:textId="77777777" w:rsidR="0054042D" w:rsidRDefault="0054042D" w:rsidP="0054042D">
      <w:pPr>
        <w:pStyle w:val="BodyText"/>
        <w:spacing w:before="240" w:line="276" w:lineRule="auto"/>
        <w:ind w:left="993" w:right="1390"/>
        <w:jc w:val="both"/>
      </w:pPr>
      <w:r>
        <w:t>Griffith University identifies the attributes of resilience, flexibility, creativity, digital literacy and entrepreneurship as critical to our graduates’ success, in the rapidly changing future world of work. We have established a Griffith University Capability Development Framework to provide a common language of some of the non-technical organisation skills that will support our staff to thrive now and into the future. The Capability Development Framework will assist you to understand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non-technical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domains</w:t>
      </w:r>
      <w:r>
        <w:rPr>
          <w:spacing w:val="-3"/>
        </w:rPr>
        <w:t xml:space="preserve"> </w:t>
      </w:r>
      <w:r>
        <w:t>that are increasingly important in a changing workplace context.</w:t>
      </w:r>
    </w:p>
    <w:p w14:paraId="0F8DBC95" w14:textId="77777777" w:rsidR="0054042D" w:rsidRDefault="0054042D" w:rsidP="0054042D">
      <w:pPr>
        <w:pStyle w:val="BodyText"/>
        <w:spacing w:line="276" w:lineRule="auto"/>
        <w:ind w:left="993"/>
        <w:jc w:val="both"/>
      </w:pPr>
    </w:p>
    <w:p w14:paraId="4B885674" w14:textId="77777777" w:rsidR="0054042D" w:rsidRDefault="0054042D" w:rsidP="0054042D">
      <w:pPr>
        <w:pStyle w:val="BodyText"/>
        <w:spacing w:line="276" w:lineRule="auto"/>
        <w:ind w:left="993" w:right="2430"/>
        <w:jc w:val="both"/>
      </w:pP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non-technical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position,</w:t>
      </w:r>
      <w:r>
        <w:rPr>
          <w:spacing w:val="-2"/>
        </w:rPr>
        <w:t xml:space="preserve"> </w:t>
      </w:r>
      <w:r>
        <w:t xml:space="preserve">please see the Leads Self section of our </w:t>
      </w:r>
      <w:hyperlink r:id="rId7" w:anchor="framework">
        <w:r>
          <w:rPr>
            <w:color w:val="0033CC"/>
            <w:u w:val="single" w:color="0033CC"/>
          </w:rPr>
          <w:t>Capability Development Framework</w:t>
        </w:r>
        <w:r>
          <w:t>.</w:t>
        </w:r>
      </w:hyperlink>
    </w:p>
    <w:p w14:paraId="4D3265D0" w14:textId="19CADF26" w:rsidR="00CC5365" w:rsidRDefault="00CC5365" w:rsidP="0054042D">
      <w:pPr>
        <w:tabs>
          <w:tab w:val="left" w:pos="1321"/>
        </w:tabs>
        <w:spacing w:before="81" w:line="276" w:lineRule="auto"/>
        <w:ind w:right="2785"/>
      </w:pPr>
    </w:p>
    <w:sectPr w:rsidR="00CC5365" w:rsidSect="0054042D">
      <w:pgSz w:w="11910" w:h="16840"/>
      <w:pgMar w:top="1338" w:right="255" w:bottom="1021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A3563"/>
    <w:multiLevelType w:val="hybridMultilevel"/>
    <w:tmpl w:val="AB962B54"/>
    <w:lvl w:ilvl="0" w:tplc="9482ECB0">
      <w:start w:val="1"/>
      <w:numFmt w:val="decimal"/>
      <w:lvlText w:val="%1.0"/>
      <w:lvlJc w:val="left"/>
      <w:pPr>
        <w:ind w:left="1002" w:hanging="720"/>
      </w:pPr>
      <w:rPr>
        <w:rFonts w:ascii="Arial" w:eastAsia="Arial" w:hAnsi="Arial" w:cs="Arial" w:hint="default"/>
        <w:b w:val="0"/>
        <w:bCs w:val="0"/>
        <w:i w:val="0"/>
        <w:iCs w:val="0"/>
        <w:color w:val="E10917"/>
        <w:spacing w:val="0"/>
        <w:w w:val="99"/>
        <w:sz w:val="24"/>
        <w:szCs w:val="24"/>
        <w:lang w:val="en-US" w:eastAsia="en-US" w:bidi="ar-SA"/>
      </w:rPr>
    </w:lvl>
    <w:lvl w:ilvl="1" w:tplc="AD948D32">
      <w:numFmt w:val="bullet"/>
      <w:lvlText w:val=""/>
      <w:lvlJc w:val="left"/>
      <w:pPr>
        <w:ind w:left="13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0917"/>
        <w:spacing w:val="0"/>
        <w:w w:val="98"/>
        <w:sz w:val="20"/>
        <w:szCs w:val="20"/>
        <w:lang w:val="en-US" w:eastAsia="en-US" w:bidi="ar-SA"/>
      </w:rPr>
    </w:lvl>
    <w:lvl w:ilvl="2" w:tplc="48D6B282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C2AA7FCA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4" w:tplc="0358ACBE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5" w:tplc="7CE4B9A4">
      <w:numFmt w:val="bullet"/>
      <w:lvlText w:val="•"/>
      <w:lvlJc w:val="left"/>
      <w:pPr>
        <w:ind w:left="5447" w:hanging="360"/>
      </w:pPr>
      <w:rPr>
        <w:rFonts w:hint="default"/>
        <w:lang w:val="en-US" w:eastAsia="en-US" w:bidi="ar-SA"/>
      </w:rPr>
    </w:lvl>
    <w:lvl w:ilvl="6" w:tplc="784694C0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2578D662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 w:tplc="EAF8AB0C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num w:numId="1" w16cid:durableId="9236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65"/>
    <w:rsid w:val="000417D2"/>
    <w:rsid w:val="001334BC"/>
    <w:rsid w:val="001E569E"/>
    <w:rsid w:val="00295122"/>
    <w:rsid w:val="002E1998"/>
    <w:rsid w:val="003D395C"/>
    <w:rsid w:val="00416DA5"/>
    <w:rsid w:val="00486265"/>
    <w:rsid w:val="00534DC5"/>
    <w:rsid w:val="0054042D"/>
    <w:rsid w:val="005F7B67"/>
    <w:rsid w:val="00663990"/>
    <w:rsid w:val="006F24BB"/>
    <w:rsid w:val="007F1499"/>
    <w:rsid w:val="007F74DF"/>
    <w:rsid w:val="00913B5E"/>
    <w:rsid w:val="00975DFD"/>
    <w:rsid w:val="00986BAC"/>
    <w:rsid w:val="009C49C4"/>
    <w:rsid w:val="00A072F6"/>
    <w:rsid w:val="00A265F9"/>
    <w:rsid w:val="00AC0F8B"/>
    <w:rsid w:val="00B95F1B"/>
    <w:rsid w:val="00BA5D02"/>
    <w:rsid w:val="00BC7E57"/>
    <w:rsid w:val="00C25D71"/>
    <w:rsid w:val="00C40EEC"/>
    <w:rsid w:val="00CC5365"/>
    <w:rsid w:val="00D93063"/>
    <w:rsid w:val="00D94132"/>
    <w:rsid w:val="00DF468C"/>
    <w:rsid w:val="00E4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F123"/>
  <w15:docId w15:val="{865282BB-C8F8-4138-9DE9-B983D922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1" w:hanging="71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6"/>
      <w:ind w:left="13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975DF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ranet.secure.griffith.edu.au/employment/learning-and-development/specialist-programs/capability-development-framew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1F748-8E58-44B8-948D-8A906C8113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Dekker</dc:creator>
  <cp:lastModifiedBy>Laura Whitworth-Matthews</cp:lastModifiedBy>
  <cp:revision>2</cp:revision>
  <dcterms:created xsi:type="dcterms:W3CDTF">2026-06-03T23:13:00Z</dcterms:created>
  <dcterms:modified xsi:type="dcterms:W3CDTF">2026-06-03T23:13:00Z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for Microsoft 365</vt:lpwstr>
  </property>
</Properties>
</file>