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12007F" w:rsidRPr="008B26BA" w14:paraId="000D8236" w14:textId="77777777" w:rsidTr="008B26BA">
        <w:trPr>
          <w:trHeight w:val="35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E836D" w14:textId="77777777" w:rsidR="0012007F" w:rsidRPr="008B26BA" w:rsidRDefault="0012007F" w:rsidP="0012007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171290942" w:edGrp="everyone" w:colFirst="1" w:colLast="1"/>
            <w:r w:rsidRPr="008B26BA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4DC8B" w14:textId="50725B57" w:rsidR="0012007F" w:rsidRPr="008B26BA" w:rsidRDefault="0011587A" w:rsidP="001200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RM&amp;T Engineer</w:t>
            </w:r>
          </w:p>
        </w:tc>
      </w:tr>
      <w:permEnd w:id="1171290942"/>
      <w:tr w:rsidR="00734913" w:rsidRPr="008B26BA" w14:paraId="0DE99BA1" w14:textId="77777777" w:rsidTr="008B26BA">
        <w:trPr>
          <w:trHeight w:val="350"/>
        </w:trPr>
        <w:tc>
          <w:tcPr>
            <w:tcW w:w="3240" w:type="dxa"/>
            <w:shd w:val="clear" w:color="auto" w:fill="E0E0E0"/>
            <w:vAlign w:val="center"/>
          </w:tcPr>
          <w:p w14:paraId="2149108F" w14:textId="77777777" w:rsidR="00734913" w:rsidRPr="008B26BA" w:rsidRDefault="00734913" w:rsidP="00383F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Band</w:t>
            </w:r>
          </w:p>
        </w:tc>
        <w:tc>
          <w:tcPr>
            <w:tcW w:w="7200" w:type="dxa"/>
            <w:shd w:val="clear" w:color="auto" w:fill="E0E0E0"/>
            <w:vAlign w:val="center"/>
          </w:tcPr>
          <w:p w14:paraId="0B0D079C" w14:textId="77777777" w:rsidR="00734913" w:rsidRPr="008B26BA" w:rsidRDefault="00734913" w:rsidP="00383F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Individual Contributor – Professional</w:t>
            </w:r>
          </w:p>
        </w:tc>
      </w:tr>
      <w:tr w:rsidR="00A67820" w:rsidRPr="008B26BA" w14:paraId="79624DCF" w14:textId="77777777" w:rsidTr="008B26BA">
        <w:trPr>
          <w:trHeight w:val="350"/>
        </w:trPr>
        <w:tc>
          <w:tcPr>
            <w:tcW w:w="3240" w:type="dxa"/>
            <w:shd w:val="clear" w:color="auto" w:fill="E0E0E0"/>
            <w:vAlign w:val="center"/>
          </w:tcPr>
          <w:p w14:paraId="56042C8E" w14:textId="77777777" w:rsidR="00A67820" w:rsidRPr="008B26BA" w:rsidRDefault="00A67820" w:rsidP="00383F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7200" w:type="dxa"/>
            <w:shd w:val="clear" w:color="auto" w:fill="E0E0E0"/>
            <w:vAlign w:val="center"/>
          </w:tcPr>
          <w:p w14:paraId="792E1ED8" w14:textId="77777777" w:rsidR="00A67820" w:rsidRPr="008B26BA" w:rsidRDefault="00A67820" w:rsidP="00383F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P2 - Intermediate</w:t>
            </w:r>
          </w:p>
        </w:tc>
      </w:tr>
      <w:tr w:rsidR="0043708A" w:rsidRPr="008B26BA" w14:paraId="252A7576" w14:textId="77777777" w:rsidTr="008B26BA">
        <w:trPr>
          <w:trHeight w:val="350"/>
        </w:trPr>
        <w:tc>
          <w:tcPr>
            <w:tcW w:w="3240" w:type="dxa"/>
            <w:vAlign w:val="center"/>
          </w:tcPr>
          <w:p w14:paraId="4B4FFC74" w14:textId="77777777" w:rsidR="0043708A" w:rsidRPr="008B26BA" w:rsidRDefault="008619FC" w:rsidP="0043708A">
            <w:pPr>
              <w:rPr>
                <w:rFonts w:ascii="Arial" w:hAnsi="Arial" w:cs="Arial"/>
                <w:sz w:val="18"/>
                <w:szCs w:val="18"/>
              </w:rPr>
            </w:pPr>
            <w:permStart w:id="608174420" w:edGrp="everyone" w:colFirst="1" w:colLast="1"/>
            <w:r w:rsidRPr="008B26BA">
              <w:rPr>
                <w:rFonts w:ascii="Arial" w:hAnsi="Arial" w:cs="Arial"/>
                <w:sz w:val="18"/>
                <w:szCs w:val="18"/>
              </w:rPr>
              <w:t>Job Family</w:t>
            </w:r>
          </w:p>
        </w:tc>
        <w:tc>
          <w:tcPr>
            <w:tcW w:w="7200" w:type="dxa"/>
            <w:vAlign w:val="center"/>
          </w:tcPr>
          <w:p w14:paraId="5694CA87" w14:textId="6A750A85" w:rsidR="0043708A" w:rsidRPr="008B26BA" w:rsidRDefault="0011587A" w:rsidP="004370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ILS</w:t>
            </w:r>
          </w:p>
        </w:tc>
      </w:tr>
      <w:tr w:rsidR="0012007F" w:rsidRPr="008B26BA" w14:paraId="127E2A2A" w14:textId="77777777" w:rsidTr="008B26BA">
        <w:trPr>
          <w:trHeight w:val="350"/>
        </w:trPr>
        <w:tc>
          <w:tcPr>
            <w:tcW w:w="3240" w:type="dxa"/>
            <w:vAlign w:val="center"/>
          </w:tcPr>
          <w:p w14:paraId="68E8F03A" w14:textId="77777777" w:rsidR="0012007F" w:rsidRPr="008B26BA" w:rsidRDefault="009F3A3F" w:rsidP="0012007F">
            <w:pPr>
              <w:rPr>
                <w:rFonts w:ascii="Arial" w:hAnsi="Arial" w:cs="Arial"/>
                <w:sz w:val="18"/>
                <w:szCs w:val="18"/>
              </w:rPr>
            </w:pPr>
            <w:permStart w:id="1841132954" w:edGrp="everyone" w:colFirst="1" w:colLast="1"/>
            <w:permEnd w:id="608174420"/>
            <w:r w:rsidRPr="008B26BA">
              <w:rPr>
                <w:rFonts w:ascii="Arial" w:hAnsi="Arial" w:cs="Arial"/>
                <w:sz w:val="18"/>
                <w:szCs w:val="18"/>
              </w:rPr>
              <w:t>Reporting To</w:t>
            </w:r>
          </w:p>
        </w:tc>
        <w:tc>
          <w:tcPr>
            <w:tcW w:w="7200" w:type="dxa"/>
            <w:vAlign w:val="center"/>
          </w:tcPr>
          <w:p w14:paraId="4B54E265" w14:textId="1AA979DC" w:rsidR="0012007F" w:rsidRPr="008B26BA" w:rsidRDefault="0011587A" w:rsidP="001200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Senior Supportability </w:t>
            </w:r>
            <w:proofErr w:type="spellStart"/>
            <w:r w:rsidR="00390551">
              <w:rPr>
                <w:rFonts w:ascii="Arial" w:hAnsi="Arial" w:cs="Arial"/>
                <w:sz w:val="18"/>
                <w:szCs w:val="18"/>
              </w:rPr>
              <w:t>Modeller</w:t>
            </w:r>
            <w:proofErr w:type="spellEnd"/>
          </w:p>
        </w:tc>
      </w:tr>
      <w:permEnd w:id="1841132954"/>
      <w:tr w:rsidR="000D5FA1" w:rsidRPr="008B26BA" w14:paraId="06700163" w14:textId="77777777" w:rsidTr="008B26BA">
        <w:trPr>
          <w:trHeight w:val="350"/>
        </w:trPr>
        <w:tc>
          <w:tcPr>
            <w:tcW w:w="3240" w:type="dxa"/>
            <w:vAlign w:val="center"/>
          </w:tcPr>
          <w:p w14:paraId="0D244F33" w14:textId="77777777" w:rsidR="000D5FA1" w:rsidRPr="008B26BA" w:rsidRDefault="000D5FA1" w:rsidP="001200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7200" w:type="dxa"/>
            <w:vAlign w:val="center"/>
          </w:tcPr>
          <w:p w14:paraId="44FF0502" w14:textId="04E5D7A7" w:rsidR="000D5FA1" w:rsidRPr="008B26BA" w:rsidRDefault="00953818" w:rsidP="0012007F">
            <w:pPr>
              <w:rPr>
                <w:rFonts w:ascii="Arial" w:hAnsi="Arial" w:cs="Arial"/>
                <w:sz w:val="18"/>
                <w:szCs w:val="18"/>
              </w:rPr>
            </w:pPr>
            <w:permStart w:id="480522006" w:edGrp="everyone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587A">
              <w:rPr>
                <w:rFonts w:ascii="Arial" w:hAnsi="Arial" w:cs="Arial"/>
                <w:sz w:val="18"/>
                <w:szCs w:val="18"/>
              </w:rPr>
              <w:t>Hybrid - Oakdale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End w:id="480522006"/>
          </w:p>
        </w:tc>
      </w:tr>
    </w:tbl>
    <w:p w14:paraId="11F1D669" w14:textId="77777777" w:rsidR="0012007F" w:rsidRDefault="0012007F">
      <w:pPr>
        <w:rPr>
          <w:rFonts w:ascii="Arial" w:hAnsi="Arial" w:cs="Arial"/>
          <w:sz w:val="18"/>
          <w:szCs w:val="18"/>
        </w:rPr>
      </w:pPr>
    </w:p>
    <w:p w14:paraId="05BB2A67" w14:textId="77777777" w:rsidR="008619FC" w:rsidRPr="008619FC" w:rsidRDefault="008619FC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8B2019" w:rsidRPr="008B26BA" w14:paraId="2546F86B" w14:textId="77777777" w:rsidTr="008B26BA">
        <w:trPr>
          <w:trHeight w:val="350"/>
        </w:trPr>
        <w:tc>
          <w:tcPr>
            <w:tcW w:w="10440" w:type="dxa"/>
            <w:shd w:val="clear" w:color="auto" w:fill="E0E0E0"/>
            <w:vAlign w:val="center"/>
          </w:tcPr>
          <w:p w14:paraId="785663FE" w14:textId="77777777" w:rsidR="008B2019" w:rsidRPr="008B26BA" w:rsidRDefault="008B2019" w:rsidP="008B20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Position Objective</w:t>
            </w:r>
          </w:p>
        </w:tc>
      </w:tr>
      <w:tr w:rsidR="008B2019" w:rsidRPr="008B26BA" w14:paraId="778DADEE" w14:textId="77777777" w:rsidTr="008B26BA">
        <w:trPr>
          <w:trHeight w:val="350"/>
        </w:trPr>
        <w:tc>
          <w:tcPr>
            <w:tcW w:w="10440" w:type="dxa"/>
            <w:vAlign w:val="center"/>
          </w:tcPr>
          <w:p w14:paraId="0A659316" w14:textId="529224F0" w:rsidR="0011587A" w:rsidRPr="0011587A" w:rsidRDefault="0011587A" w:rsidP="0011587A">
            <w:pPr>
              <w:rPr>
                <w:rFonts w:ascii="Arial" w:hAnsi="Arial" w:cs="Arial"/>
                <w:sz w:val="18"/>
                <w:szCs w:val="18"/>
              </w:rPr>
            </w:pPr>
            <w:permStart w:id="1646228553" w:edGrp="everyone"/>
            <w:r w:rsidRPr="0011587A">
              <w:rPr>
                <w:rFonts w:ascii="Arial" w:hAnsi="Arial" w:cs="Arial"/>
                <w:sz w:val="18"/>
                <w:szCs w:val="18"/>
              </w:rPr>
              <w:t>This is an opportunity for you to contribute to our Integrated Logistics Support (ILS) function as a Reliability, Maintainability and Testability (RM&amp;T) Engineer. You will play a key role in ensuring the optimal performance, availability, and efficiency of our systems and assets.</w:t>
            </w:r>
          </w:p>
          <w:p w14:paraId="75C85DC6" w14:textId="77777777" w:rsidR="0011587A" w:rsidRPr="0011587A" w:rsidRDefault="0011587A" w:rsidP="001158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397B62" w14:textId="25A4601A" w:rsidR="00515D64" w:rsidRPr="008B26BA" w:rsidRDefault="0011587A" w:rsidP="00515D64">
            <w:pPr>
              <w:rPr>
                <w:rFonts w:ascii="Arial" w:hAnsi="Arial" w:cs="Arial"/>
                <w:sz w:val="18"/>
                <w:szCs w:val="18"/>
              </w:rPr>
            </w:pPr>
            <w:r w:rsidRPr="0011587A">
              <w:rPr>
                <w:rFonts w:ascii="Arial" w:hAnsi="Arial" w:cs="Arial"/>
                <w:sz w:val="18"/>
                <w:szCs w:val="18"/>
              </w:rPr>
              <w:t xml:space="preserve">The RM&amp;T Engineer will </w:t>
            </w:r>
            <w:r>
              <w:rPr>
                <w:rFonts w:ascii="Arial" w:hAnsi="Arial" w:cs="Arial"/>
                <w:sz w:val="18"/>
                <w:szCs w:val="18"/>
              </w:rPr>
              <w:t xml:space="preserve">support the </w:t>
            </w:r>
            <w:r w:rsidRPr="0011587A">
              <w:rPr>
                <w:rFonts w:ascii="Arial" w:hAnsi="Arial" w:cs="Arial"/>
                <w:sz w:val="18"/>
                <w:szCs w:val="18"/>
              </w:rPr>
              <w:t>develop</w:t>
            </w:r>
            <w:r>
              <w:rPr>
                <w:rFonts w:ascii="Arial" w:hAnsi="Arial" w:cs="Arial"/>
                <w:sz w:val="18"/>
                <w:szCs w:val="18"/>
              </w:rPr>
              <w:t>ment of</w:t>
            </w:r>
            <w:r w:rsidRPr="0011587A">
              <w:rPr>
                <w:rFonts w:ascii="Arial" w:hAnsi="Arial" w:cs="Arial"/>
                <w:sz w:val="18"/>
                <w:szCs w:val="18"/>
              </w:rPr>
              <w:t xml:space="preserve"> models to quantify product and system performance and make recommendations to </w:t>
            </w:r>
            <w:proofErr w:type="spellStart"/>
            <w:r w:rsidRPr="0011587A">
              <w:rPr>
                <w:rFonts w:ascii="Arial" w:hAnsi="Arial" w:cs="Arial"/>
                <w:sz w:val="18"/>
                <w:szCs w:val="18"/>
              </w:rPr>
              <w:t>optimise</w:t>
            </w:r>
            <w:proofErr w:type="spellEnd"/>
            <w:r w:rsidRPr="0011587A">
              <w:rPr>
                <w:rFonts w:ascii="Arial" w:hAnsi="Arial" w:cs="Arial"/>
                <w:sz w:val="18"/>
                <w:szCs w:val="18"/>
              </w:rPr>
              <w:t xml:space="preserve"> reliability and availability, whilst balancing cost considerations. On an average day you will be involved in the management and planning of RM&amp;T activities for new products, executing the analyses and documenting them in associated case reports as well as the monitoring and reporting on the in-service reliability performance of equipment. You will provide support to ILS </w:t>
            </w:r>
            <w:proofErr w:type="spellStart"/>
            <w:r w:rsidRPr="0011587A">
              <w:rPr>
                <w:rFonts w:ascii="Arial" w:hAnsi="Arial" w:cs="Arial"/>
                <w:sz w:val="18"/>
                <w:szCs w:val="18"/>
              </w:rPr>
              <w:t>programme</w:t>
            </w:r>
            <w:proofErr w:type="spellEnd"/>
            <w:r w:rsidRPr="0011587A">
              <w:rPr>
                <w:rFonts w:ascii="Arial" w:hAnsi="Arial" w:cs="Arial"/>
                <w:sz w:val="18"/>
                <w:szCs w:val="18"/>
              </w:rPr>
              <w:t xml:space="preserve"> meetings and reviews and represent RM&amp;T status to the wider business</w:t>
            </w:r>
          </w:p>
          <w:permEnd w:id="1646228553"/>
          <w:p w14:paraId="293F2C27" w14:textId="77777777" w:rsidR="00515D64" w:rsidRPr="008B26BA" w:rsidRDefault="00515D64" w:rsidP="0051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567488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3CC13CA1" w14:textId="77777777" w:rsidR="00485365" w:rsidRPr="00485365" w:rsidRDefault="00485365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0F0E74" w:rsidRPr="008B26BA" w14:paraId="14E7BEDB" w14:textId="77777777" w:rsidTr="008B26BA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5C3FC14E" w14:textId="77777777" w:rsidR="000F0E74" w:rsidRPr="008B26BA" w:rsidRDefault="000F0E74" w:rsidP="000F0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Generic Level Description</w:t>
            </w:r>
          </w:p>
        </w:tc>
      </w:tr>
      <w:tr w:rsidR="000F0E74" w:rsidRPr="008B26BA" w14:paraId="3198A78E" w14:textId="77777777" w:rsidTr="008B26BA">
        <w:trPr>
          <w:trHeight w:val="485"/>
        </w:trPr>
        <w:tc>
          <w:tcPr>
            <w:tcW w:w="3240" w:type="dxa"/>
            <w:vAlign w:val="center"/>
          </w:tcPr>
          <w:p w14:paraId="19919228" w14:textId="77777777" w:rsidR="000F0E74" w:rsidRPr="008B26BA" w:rsidRDefault="000F0E74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General Accountabili</w:t>
            </w:r>
            <w:r w:rsidR="006F5DAB" w:rsidRPr="008B26BA">
              <w:rPr>
                <w:rFonts w:ascii="Arial" w:hAnsi="Arial" w:cs="Arial"/>
                <w:bCs/>
                <w:sz w:val="18"/>
                <w:szCs w:val="18"/>
              </w:rPr>
              <w:t>ti</w:t>
            </w:r>
            <w:r w:rsidRPr="008B26BA">
              <w:rPr>
                <w:rFonts w:ascii="Arial" w:hAnsi="Arial" w:cs="Arial"/>
                <w:bCs/>
                <w:sz w:val="18"/>
                <w:szCs w:val="18"/>
              </w:rPr>
              <w:t>es</w:t>
            </w:r>
          </w:p>
        </w:tc>
        <w:tc>
          <w:tcPr>
            <w:tcW w:w="7200" w:type="dxa"/>
            <w:vAlign w:val="center"/>
          </w:tcPr>
          <w:p w14:paraId="00A0BDA9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Applies academic knowledge to job/role accountabilities; provides support on specific portions of larger projects/work assignments</w:t>
            </w:r>
          </w:p>
        </w:tc>
      </w:tr>
      <w:tr w:rsidR="000F0E74" w:rsidRPr="008B26BA" w14:paraId="13FE5890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4860BE0A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Supervision Required or Provided to Others</w:t>
            </w:r>
          </w:p>
        </w:tc>
        <w:tc>
          <w:tcPr>
            <w:tcW w:w="7200" w:type="dxa"/>
            <w:vAlign w:val="center"/>
          </w:tcPr>
          <w:p w14:paraId="4267679A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Works under general supervision; begins to put forward ideas on how work assignments can be executed; receives detailed instructions on new projects or assignments.</w:t>
            </w:r>
          </w:p>
        </w:tc>
      </w:tr>
      <w:tr w:rsidR="000F0E74" w:rsidRPr="008B26BA" w14:paraId="7F480EEA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1F984915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Complexity</w:t>
            </w:r>
          </w:p>
        </w:tc>
        <w:tc>
          <w:tcPr>
            <w:tcW w:w="7200" w:type="dxa"/>
            <w:vAlign w:val="center"/>
          </w:tcPr>
          <w:p w14:paraId="30386A05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Works on problems of moderate scope where analysis of situations or data requires a review of a variety of factors. Exercises judgment within defined procedures and practices to determine appropriate action.</w:t>
            </w:r>
          </w:p>
        </w:tc>
      </w:tr>
      <w:tr w:rsidR="000F0E74" w:rsidRPr="008B26BA" w14:paraId="22FBC36A" w14:textId="77777777" w:rsidTr="008B26BA">
        <w:trPr>
          <w:trHeight w:val="890"/>
        </w:trPr>
        <w:tc>
          <w:tcPr>
            <w:tcW w:w="3240" w:type="dxa"/>
            <w:vAlign w:val="center"/>
          </w:tcPr>
          <w:p w14:paraId="0A7123B1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Knowledge and Technical Expertise</w:t>
            </w:r>
          </w:p>
        </w:tc>
        <w:tc>
          <w:tcPr>
            <w:tcW w:w="7200" w:type="dxa"/>
            <w:vAlign w:val="center"/>
          </w:tcPr>
          <w:p w14:paraId="3172FA5E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Developing professional expertise; applies company policies and procedures to resolve a variety of issues.  Applies knowledge/skills to a variety of standard day to day activi</w:t>
            </w:r>
            <w:r w:rsidR="008619FC" w:rsidRPr="008B26BA">
              <w:rPr>
                <w:rFonts w:ascii="Arial" w:hAnsi="Arial" w:cs="Arial"/>
                <w:sz w:val="18"/>
                <w:szCs w:val="18"/>
              </w:rPr>
              <w:t>ti</w:t>
            </w:r>
            <w:r w:rsidRPr="008B26BA">
              <w:rPr>
                <w:rFonts w:ascii="Arial" w:hAnsi="Arial" w:cs="Arial"/>
                <w:sz w:val="18"/>
                <w:szCs w:val="18"/>
              </w:rPr>
              <w:t xml:space="preserve">es.  Deepens knowledge/skills in one area or broadens ability over a variety of skills.  </w:t>
            </w:r>
          </w:p>
        </w:tc>
      </w:tr>
      <w:tr w:rsidR="000F0E74" w:rsidRPr="008B26BA" w14:paraId="32D6A165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2F847620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Problem Solving</w:t>
            </w:r>
          </w:p>
        </w:tc>
        <w:tc>
          <w:tcPr>
            <w:tcW w:w="7200" w:type="dxa"/>
            <w:vAlign w:val="center"/>
          </w:tcPr>
          <w:p w14:paraId="07B48172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Identifies the problem and all relevant issues in straightforward situations; generates possible solutions, assesses each using standard procedures and makes a sound decision</w:t>
            </w:r>
          </w:p>
        </w:tc>
      </w:tr>
      <w:tr w:rsidR="000F0E74" w:rsidRPr="008B26BA" w14:paraId="2B01CCF7" w14:textId="77777777" w:rsidTr="008B26BA">
        <w:trPr>
          <w:trHeight w:val="350"/>
        </w:trPr>
        <w:tc>
          <w:tcPr>
            <w:tcW w:w="3240" w:type="dxa"/>
            <w:vAlign w:val="center"/>
          </w:tcPr>
          <w:p w14:paraId="6EFA7542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Planning &amp; Organizing</w:t>
            </w:r>
          </w:p>
        </w:tc>
        <w:tc>
          <w:tcPr>
            <w:tcW w:w="7200" w:type="dxa"/>
            <w:vAlign w:val="center"/>
          </w:tcPr>
          <w:p w14:paraId="19714F74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Prioritizes and organizes own work to deliver to agreed deadlines.</w:t>
            </w:r>
          </w:p>
        </w:tc>
      </w:tr>
      <w:tr w:rsidR="000F0E74" w:rsidRPr="008B26BA" w14:paraId="1375C286" w14:textId="77777777" w:rsidTr="008B26BA">
        <w:trPr>
          <w:trHeight w:val="530"/>
        </w:trPr>
        <w:tc>
          <w:tcPr>
            <w:tcW w:w="3240" w:type="dxa"/>
            <w:vAlign w:val="center"/>
          </w:tcPr>
          <w:p w14:paraId="7F20DF91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Project Management Accountabilities</w:t>
            </w:r>
          </w:p>
        </w:tc>
        <w:tc>
          <w:tcPr>
            <w:tcW w:w="7200" w:type="dxa"/>
            <w:vAlign w:val="center"/>
          </w:tcPr>
          <w:p w14:paraId="2B2DB497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Begins to manage projects; may be asked to review work delivered by external suppliers</w:t>
            </w:r>
          </w:p>
        </w:tc>
      </w:tr>
      <w:tr w:rsidR="000F0E74" w:rsidRPr="008B26BA" w14:paraId="5A15D8D6" w14:textId="77777777" w:rsidTr="008B26BA">
        <w:trPr>
          <w:trHeight w:val="530"/>
        </w:trPr>
        <w:tc>
          <w:tcPr>
            <w:tcW w:w="3240" w:type="dxa"/>
            <w:vAlign w:val="center"/>
          </w:tcPr>
          <w:p w14:paraId="27B454F7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Decision Making and Autonomy</w:t>
            </w:r>
          </w:p>
        </w:tc>
        <w:tc>
          <w:tcPr>
            <w:tcW w:w="7200" w:type="dxa"/>
            <w:vAlign w:val="center"/>
          </w:tcPr>
          <w:p w14:paraId="4C2C49BE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Works independently on details of assignments, but has limited decision-making authority; most decisions made or guided by immediate supervisor</w:t>
            </w:r>
          </w:p>
        </w:tc>
      </w:tr>
      <w:tr w:rsidR="000F0E74" w:rsidRPr="008B26BA" w14:paraId="1B462D8E" w14:textId="77777777" w:rsidTr="008B26BA">
        <w:trPr>
          <w:trHeight w:val="890"/>
        </w:trPr>
        <w:tc>
          <w:tcPr>
            <w:tcW w:w="3240" w:type="dxa"/>
            <w:vAlign w:val="center"/>
          </w:tcPr>
          <w:p w14:paraId="132C6947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Client/Business Orientation</w:t>
            </w:r>
          </w:p>
        </w:tc>
        <w:tc>
          <w:tcPr>
            <w:tcW w:w="7200" w:type="dxa"/>
            <w:vAlign w:val="center"/>
          </w:tcPr>
          <w:p w14:paraId="29CF92F9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Becomes more self-directed in dealing with internal and external clients and responds to requests in non-standard situations, investigating all the facts.  Understands the key business drivers; uses this knowledge to focus on own work.  Works to control costs related to own work.</w:t>
            </w:r>
          </w:p>
        </w:tc>
      </w:tr>
      <w:tr w:rsidR="000F0E74" w:rsidRPr="008B26BA" w14:paraId="39376EE9" w14:textId="77777777" w:rsidTr="008B26BA">
        <w:trPr>
          <w:trHeight w:val="530"/>
        </w:trPr>
        <w:tc>
          <w:tcPr>
            <w:tcW w:w="3240" w:type="dxa"/>
            <w:vAlign w:val="center"/>
          </w:tcPr>
          <w:p w14:paraId="6E4E64EB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Communication, Negotiation and Influencing</w:t>
            </w:r>
          </w:p>
        </w:tc>
        <w:tc>
          <w:tcPr>
            <w:tcW w:w="7200" w:type="dxa"/>
            <w:vAlign w:val="center"/>
          </w:tcPr>
          <w:p w14:paraId="50827E63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 xml:space="preserve">Probes and listens carefully, presents information clearly and in appropriate style, makes technical information clear, persuades others in </w:t>
            </w:r>
            <w:r w:rsidR="008619FC" w:rsidRPr="008B26BA">
              <w:rPr>
                <w:rFonts w:ascii="Arial" w:hAnsi="Arial" w:cs="Arial"/>
                <w:sz w:val="18"/>
                <w:szCs w:val="18"/>
              </w:rPr>
              <w:t>straightforward</w:t>
            </w:r>
            <w:r w:rsidRPr="008B26BA">
              <w:rPr>
                <w:rFonts w:ascii="Arial" w:hAnsi="Arial" w:cs="Arial"/>
                <w:sz w:val="18"/>
                <w:szCs w:val="18"/>
              </w:rPr>
              <w:t xml:space="preserve"> situations.</w:t>
            </w:r>
          </w:p>
        </w:tc>
      </w:tr>
      <w:tr w:rsidR="000F0E74" w:rsidRPr="008B26BA" w14:paraId="59A8A5F8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1EA6BD68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lastRenderedPageBreak/>
              <w:t>Leadership Requirements</w:t>
            </w:r>
          </w:p>
        </w:tc>
        <w:tc>
          <w:tcPr>
            <w:tcW w:w="7200" w:type="dxa"/>
            <w:vAlign w:val="center"/>
          </w:tcPr>
          <w:p w14:paraId="7DBD13AC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Takes initiative in learning about the organization, and develops external contacts; actively seeks information and guidance to improve own performance; contributes as a team member</w:t>
            </w:r>
            <w:r w:rsidR="00EA3C80" w:rsidRPr="008B26BA">
              <w:rPr>
                <w:rFonts w:ascii="Arial" w:hAnsi="Arial" w:cs="Arial"/>
                <w:sz w:val="18"/>
                <w:szCs w:val="18"/>
              </w:rPr>
              <w:t xml:space="preserve">, and takes responsibility for </w:t>
            </w:r>
            <w:r w:rsidRPr="008B26BA">
              <w:rPr>
                <w:rFonts w:ascii="Arial" w:hAnsi="Arial" w:cs="Arial"/>
                <w:sz w:val="18"/>
                <w:szCs w:val="18"/>
              </w:rPr>
              <w:t>o</w:t>
            </w:r>
            <w:r w:rsidR="00EA3C80" w:rsidRPr="008B26BA">
              <w:rPr>
                <w:rFonts w:ascii="Arial" w:hAnsi="Arial" w:cs="Arial"/>
                <w:sz w:val="18"/>
                <w:szCs w:val="18"/>
              </w:rPr>
              <w:t>w</w:t>
            </w:r>
            <w:r w:rsidRPr="008B26BA">
              <w:rPr>
                <w:rFonts w:ascii="Arial" w:hAnsi="Arial" w:cs="Arial"/>
                <w:sz w:val="18"/>
                <w:szCs w:val="18"/>
              </w:rPr>
              <w:t>n work commitments</w:t>
            </w:r>
          </w:p>
        </w:tc>
      </w:tr>
      <w:tr w:rsidR="000F0E74" w:rsidRPr="008B26BA" w14:paraId="7285DB26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35F3F7EE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Key Contacts</w:t>
            </w:r>
          </w:p>
        </w:tc>
        <w:tc>
          <w:tcPr>
            <w:tcW w:w="7200" w:type="dxa"/>
            <w:vAlign w:val="center"/>
          </w:tcPr>
          <w:p w14:paraId="6B7B4152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Builds internal relationships with others outside of own work group or team particularly with internal customers; begins to interact with external contacts on own; begins to initiate information exchanges</w:t>
            </w:r>
          </w:p>
        </w:tc>
      </w:tr>
    </w:tbl>
    <w:p w14:paraId="14354475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5A8FF586" w14:textId="77777777" w:rsidR="008619FC" w:rsidRDefault="008619FC">
      <w:pPr>
        <w:rPr>
          <w:rFonts w:ascii="Arial" w:hAnsi="Arial" w:cs="Arial"/>
          <w:sz w:val="18"/>
          <w:szCs w:val="18"/>
        </w:rPr>
      </w:pPr>
    </w:p>
    <w:p w14:paraId="5FCAF849" w14:textId="77777777" w:rsidR="008619FC" w:rsidRPr="008619FC" w:rsidRDefault="008619FC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817F55" w:rsidRPr="008B26BA" w14:paraId="12693283" w14:textId="77777777" w:rsidTr="008B26BA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08A3E3DC" w14:textId="77777777" w:rsidR="00817F55" w:rsidRPr="008B26BA" w:rsidRDefault="00817F55" w:rsidP="00817F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Discipline Des</w:t>
            </w:r>
            <w:r w:rsidR="00996600" w:rsidRPr="008B26B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8B26BA">
              <w:rPr>
                <w:rFonts w:ascii="Arial" w:hAnsi="Arial" w:cs="Arial"/>
                <w:b/>
                <w:sz w:val="20"/>
                <w:szCs w:val="20"/>
              </w:rPr>
              <w:t>ription</w:t>
            </w:r>
          </w:p>
        </w:tc>
      </w:tr>
      <w:tr w:rsidR="0011587A" w:rsidRPr="008B26BA" w14:paraId="77216032" w14:textId="77777777" w:rsidTr="008B26BA">
        <w:tc>
          <w:tcPr>
            <w:tcW w:w="3240" w:type="dxa"/>
          </w:tcPr>
          <w:p w14:paraId="68C378EB" w14:textId="77777777" w:rsidR="0011587A" w:rsidRDefault="0011587A" w:rsidP="0011587A">
            <w:pPr>
              <w:rPr>
                <w:rFonts w:ascii="Arial" w:hAnsi="Arial" w:cs="Arial"/>
                <w:bCs/>
                <w:sz w:val="18"/>
                <w:szCs w:val="18"/>
              </w:rPr>
            </w:pPr>
            <w:permStart w:id="1789401265" w:edGrp="everyone" w:colFirst="0" w:colLast="0"/>
            <w:permStart w:id="1539901939" w:edGrp="everyone" w:colFirst="1" w:colLast="1"/>
          </w:p>
          <w:p w14:paraId="2E02CB74" w14:textId="77777777" w:rsidR="0011587A" w:rsidRDefault="0011587A" w:rsidP="0011587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C43F330" w14:textId="77777777" w:rsidR="0011587A" w:rsidRPr="008B26BA" w:rsidRDefault="0011587A" w:rsidP="0011587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5D54E4F" w14:textId="77777777" w:rsidR="0011587A" w:rsidRDefault="0011587A" w:rsidP="0011587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Responsibilities Include</w:t>
            </w:r>
          </w:p>
          <w:p w14:paraId="3329E652" w14:textId="77777777" w:rsidR="0011587A" w:rsidRDefault="0011587A" w:rsidP="0011587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975A56A" w14:textId="77777777" w:rsidR="0011587A" w:rsidRDefault="0011587A" w:rsidP="0011587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157B43D" w14:textId="77777777" w:rsidR="0011587A" w:rsidRDefault="0011587A" w:rsidP="0011587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CAA751A" w14:textId="77777777" w:rsidR="0011587A" w:rsidRPr="008B26BA" w:rsidRDefault="0011587A" w:rsidP="001158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0" w:type="dxa"/>
          </w:tcPr>
          <w:p w14:paraId="15BE81BC" w14:textId="41C4222B" w:rsidR="0011587A" w:rsidRDefault="0011587A" w:rsidP="0066497A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66497A">
              <w:rPr>
                <w:rFonts w:ascii="Arial" w:hAnsi="Arial" w:cs="Arial"/>
                <w:sz w:val="18"/>
                <w:szCs w:val="18"/>
              </w:rPr>
              <w:t>To support the generation of reliability artefacts required for supportability engineering such as RM&amp;T Plans</w:t>
            </w:r>
            <w:r w:rsidR="0066497A" w:rsidRPr="0066497A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66497A">
              <w:rPr>
                <w:rFonts w:ascii="Arial" w:hAnsi="Arial" w:cs="Arial"/>
                <w:sz w:val="18"/>
                <w:szCs w:val="18"/>
              </w:rPr>
              <w:t>Case Reports</w:t>
            </w:r>
          </w:p>
          <w:p w14:paraId="796B95C3" w14:textId="060D2CC5" w:rsidR="0066497A" w:rsidRPr="0066497A" w:rsidRDefault="0066497A" w:rsidP="0066497A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contribute to the undertaking of RM&amp;T analys</w:t>
            </w:r>
            <w:r w:rsidR="00BE47C6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 activities such as:</w:t>
            </w:r>
          </w:p>
          <w:p w14:paraId="4883D760" w14:textId="77777777" w:rsidR="0011587A" w:rsidRDefault="0011587A" w:rsidP="0011587A">
            <w:pPr>
              <w:numPr>
                <w:ilvl w:val="1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B97379">
              <w:rPr>
                <w:rFonts w:ascii="Arial" w:hAnsi="Arial" w:cs="Arial"/>
                <w:sz w:val="18"/>
                <w:szCs w:val="18"/>
              </w:rPr>
              <w:t>Reliability predictions</w:t>
            </w:r>
          </w:p>
          <w:p w14:paraId="04EA4732" w14:textId="5E20F8F8" w:rsidR="0011587A" w:rsidRDefault="0011587A" w:rsidP="0011587A">
            <w:pPr>
              <w:numPr>
                <w:ilvl w:val="1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B97379">
              <w:rPr>
                <w:rFonts w:ascii="Arial" w:hAnsi="Arial" w:cs="Arial"/>
                <w:sz w:val="18"/>
                <w:szCs w:val="18"/>
              </w:rPr>
              <w:t>Failure Mode, Effects &amp; Criticality Analysis</w:t>
            </w:r>
            <w:r>
              <w:rPr>
                <w:rFonts w:ascii="Arial" w:hAnsi="Arial" w:cs="Arial"/>
                <w:sz w:val="18"/>
                <w:szCs w:val="18"/>
              </w:rPr>
              <w:t xml:space="preserve"> (FMECA)</w:t>
            </w:r>
          </w:p>
          <w:p w14:paraId="2ABA05B5" w14:textId="2C54B745" w:rsidR="0011587A" w:rsidRDefault="0011587A" w:rsidP="0011587A">
            <w:pPr>
              <w:numPr>
                <w:ilvl w:val="1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Reliability Centered Maintenance Analysis (RCM)</w:t>
            </w:r>
          </w:p>
          <w:p w14:paraId="3D79C19A" w14:textId="77777777" w:rsidR="0011587A" w:rsidRDefault="0011587A" w:rsidP="0011587A">
            <w:pPr>
              <w:numPr>
                <w:ilvl w:val="1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B97379">
              <w:rPr>
                <w:rFonts w:ascii="Arial" w:hAnsi="Arial" w:cs="Arial"/>
                <w:sz w:val="18"/>
                <w:szCs w:val="18"/>
              </w:rPr>
              <w:t>Reliability Block Diagrams</w:t>
            </w:r>
          </w:p>
          <w:p w14:paraId="03050A6A" w14:textId="77777777" w:rsidR="0011587A" w:rsidRDefault="0011587A" w:rsidP="0011587A">
            <w:pPr>
              <w:numPr>
                <w:ilvl w:val="1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4D37C3">
              <w:rPr>
                <w:rFonts w:ascii="Arial" w:hAnsi="Arial" w:cs="Arial"/>
                <w:sz w:val="18"/>
                <w:szCs w:val="18"/>
              </w:rPr>
              <w:t>Fault Tree Analysis</w:t>
            </w:r>
          </w:p>
          <w:p w14:paraId="736D3356" w14:textId="77777777" w:rsidR="0011587A" w:rsidRPr="004D37C3" w:rsidRDefault="0011587A" w:rsidP="0011587A">
            <w:pPr>
              <w:numPr>
                <w:ilvl w:val="1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4D37C3">
              <w:rPr>
                <w:rFonts w:ascii="Arial" w:hAnsi="Arial" w:cs="Arial"/>
                <w:sz w:val="18"/>
                <w:szCs w:val="18"/>
              </w:rPr>
              <w:t>Reliability Growth Analysis</w:t>
            </w:r>
          </w:p>
          <w:p w14:paraId="3F57583D" w14:textId="77777777" w:rsidR="0011587A" w:rsidRPr="00B97379" w:rsidRDefault="0011587A" w:rsidP="0011587A">
            <w:pPr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B97379">
              <w:rPr>
                <w:rFonts w:ascii="Arial" w:hAnsi="Arial" w:cs="Arial"/>
                <w:sz w:val="18"/>
                <w:szCs w:val="18"/>
              </w:rPr>
              <w:t>To support reliability analysis for new products and highlight areas of concern that require reliability growth</w:t>
            </w:r>
          </w:p>
          <w:p w14:paraId="6CCC5D3A" w14:textId="040A08BE" w:rsidR="0066497A" w:rsidRPr="0066497A" w:rsidRDefault="0011587A" w:rsidP="0066497A">
            <w:pPr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B97379">
              <w:rPr>
                <w:rFonts w:ascii="Arial" w:hAnsi="Arial" w:cs="Arial"/>
                <w:sz w:val="18"/>
                <w:szCs w:val="18"/>
              </w:rPr>
              <w:t>To support Project Design Authorities in achieving compliance with Legislation, Regulations and Standards applicable to the product(s).</w:t>
            </w:r>
          </w:p>
        </w:tc>
      </w:tr>
      <w:permEnd w:id="1789401265"/>
      <w:permEnd w:id="1539901939"/>
    </w:tbl>
    <w:p w14:paraId="56744E2E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46E829D4" w14:textId="77777777" w:rsidR="008619FC" w:rsidRPr="008619FC" w:rsidRDefault="008619FC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996600" w:rsidRPr="008B26BA" w14:paraId="45894187" w14:textId="77777777" w:rsidTr="008B26BA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5399922A" w14:textId="77777777" w:rsidR="00996600" w:rsidRPr="008B26BA" w:rsidRDefault="00996600" w:rsidP="009966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Knowledge, Skills &amp; Abilities</w:t>
            </w:r>
          </w:p>
        </w:tc>
      </w:tr>
      <w:tr w:rsidR="00996600" w:rsidRPr="008B26BA" w14:paraId="58D74005" w14:textId="77777777" w:rsidTr="008B26BA">
        <w:tc>
          <w:tcPr>
            <w:tcW w:w="3240" w:type="dxa"/>
          </w:tcPr>
          <w:p w14:paraId="3DA3C3F1" w14:textId="77777777" w:rsidR="008619FC" w:rsidRDefault="008619FC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  <w:permStart w:id="2133420008" w:edGrp="everyone" w:colFirst="0" w:colLast="0"/>
            <w:permStart w:id="717041370" w:edGrp="everyone" w:colFirst="1" w:colLast="1"/>
          </w:p>
          <w:p w14:paraId="4EA0BD9B" w14:textId="77777777" w:rsidR="00953818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796C0F9" w14:textId="77777777" w:rsidR="00953818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D75C5E2" w14:textId="77777777" w:rsidR="00953818" w:rsidRPr="008B26BA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A353622" w14:textId="77777777" w:rsidR="00996600" w:rsidRDefault="00996600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Required Skills &amp; Abilities</w:t>
            </w:r>
          </w:p>
          <w:p w14:paraId="166A97B0" w14:textId="77777777" w:rsidR="00953818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249EC8B" w14:textId="77777777" w:rsidR="00953818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9044D6A" w14:textId="77777777" w:rsidR="00953818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51AA8D5" w14:textId="77777777" w:rsidR="00953818" w:rsidRPr="008B26BA" w:rsidRDefault="00953818" w:rsidP="009966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0" w:type="dxa"/>
          </w:tcPr>
          <w:p w14:paraId="08109FE5" w14:textId="77777777" w:rsidR="0066497A" w:rsidRDefault="0066497A" w:rsidP="0066497A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Essential:</w:t>
            </w:r>
          </w:p>
          <w:p w14:paraId="5EF02A85" w14:textId="77C1423C" w:rsidR="0011587A" w:rsidRPr="00EF285E" w:rsidRDefault="0011587A" w:rsidP="0011587A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EF285E">
              <w:rPr>
                <w:rFonts w:ascii="Arial" w:hAnsi="Arial" w:cs="Arial"/>
                <w:sz w:val="18"/>
                <w:szCs w:val="18"/>
              </w:rPr>
              <w:t>Excellent problem-solving and analytical skills</w:t>
            </w:r>
          </w:p>
          <w:p w14:paraId="268E5CAF" w14:textId="77777777" w:rsidR="00515D64" w:rsidRDefault="0011587A" w:rsidP="00515D64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Excellent written and verbal communication skills</w:t>
            </w:r>
          </w:p>
          <w:p w14:paraId="318A9990" w14:textId="77777777" w:rsidR="0066497A" w:rsidRDefault="0066497A" w:rsidP="00515D64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66497A">
              <w:rPr>
                <w:rFonts w:ascii="Arial" w:hAnsi="Arial" w:cs="Arial"/>
                <w:sz w:val="18"/>
                <w:szCs w:val="18"/>
              </w:rPr>
              <w:t>Excellent attention to detail</w:t>
            </w:r>
          </w:p>
          <w:p w14:paraId="2A654F40" w14:textId="77777777" w:rsidR="0066497A" w:rsidRDefault="0066497A" w:rsidP="0066497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BCCB4B4" w14:textId="13E09949" w:rsidR="0066497A" w:rsidRPr="0011587A" w:rsidRDefault="0066497A" w:rsidP="0066497A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Desirable:</w:t>
            </w:r>
          </w:p>
          <w:p w14:paraId="60B7B634" w14:textId="2CE6FE45" w:rsidR="0066497A" w:rsidRDefault="0066497A" w:rsidP="0066497A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Ability to develop Product, Software and System level Reliability Predictions using industry standard techniques</w:t>
            </w:r>
          </w:p>
          <w:p w14:paraId="02D5C548" w14:textId="34B5642D" w:rsidR="0066497A" w:rsidRDefault="0066497A" w:rsidP="0066497A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Ability to undertake FMECA at system, hardware and software levels</w:t>
            </w:r>
          </w:p>
          <w:p w14:paraId="5DFE0D35" w14:textId="77777777" w:rsidR="0066497A" w:rsidRDefault="0066497A" w:rsidP="0066497A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Good understanding of Reliability Centered Maintenance and the derivation of preventative maintenance tasks</w:t>
            </w:r>
          </w:p>
          <w:p w14:paraId="764D90FB" w14:textId="77777777" w:rsidR="0066497A" w:rsidRDefault="0066497A" w:rsidP="0066497A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Proficiency in</w:t>
            </w:r>
            <w:r w:rsidRPr="00CA0D6E">
              <w:rPr>
                <w:rFonts w:ascii="Arial" w:hAnsi="Arial" w:cs="Arial"/>
                <w:sz w:val="18"/>
                <w:szCs w:val="18"/>
              </w:rPr>
              <w:t xml:space="preserve"> Reliability concepts and techniques, e.g. Fault Tree, Reliability Block Diagrams</w:t>
            </w:r>
          </w:p>
          <w:p w14:paraId="43B6DA08" w14:textId="6769E221" w:rsidR="0066497A" w:rsidRPr="0066497A" w:rsidRDefault="0066497A" w:rsidP="0066497A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Proficient in the use of MATLAB or equivalent modelling software</w:t>
            </w:r>
          </w:p>
        </w:tc>
      </w:tr>
      <w:permEnd w:id="2133420008"/>
      <w:permEnd w:id="717041370"/>
    </w:tbl>
    <w:p w14:paraId="54BFD4DC" w14:textId="77777777" w:rsidR="00996600" w:rsidRDefault="00996600">
      <w:pPr>
        <w:rPr>
          <w:rFonts w:ascii="Arial" w:hAnsi="Arial" w:cs="Arial"/>
          <w:sz w:val="18"/>
          <w:szCs w:val="18"/>
        </w:rPr>
      </w:pPr>
    </w:p>
    <w:p w14:paraId="5E55DBFA" w14:textId="77777777" w:rsidR="008619FC" w:rsidRPr="008619FC" w:rsidRDefault="008619FC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996600" w:rsidRPr="008B26BA" w14:paraId="525BAEE7" w14:textId="77777777" w:rsidTr="008B26BA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1EE500C8" w14:textId="77777777" w:rsidR="00996600" w:rsidRPr="008B26BA" w:rsidRDefault="00996600" w:rsidP="009966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Education &amp; Experience</w:t>
            </w:r>
          </w:p>
        </w:tc>
      </w:tr>
      <w:tr w:rsidR="00996600" w:rsidRPr="008B26BA" w14:paraId="454A40A6" w14:textId="77777777" w:rsidTr="008B26BA">
        <w:tc>
          <w:tcPr>
            <w:tcW w:w="3240" w:type="dxa"/>
          </w:tcPr>
          <w:p w14:paraId="2251C13E" w14:textId="77777777" w:rsidR="008619FC" w:rsidRPr="008B26BA" w:rsidRDefault="008619FC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56F1B86" w14:textId="77777777" w:rsidR="00996600" w:rsidRPr="008B26BA" w:rsidRDefault="00996600" w:rsidP="00996600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Required Education &amp; Experience</w:t>
            </w:r>
          </w:p>
        </w:tc>
        <w:tc>
          <w:tcPr>
            <w:tcW w:w="7200" w:type="dxa"/>
          </w:tcPr>
          <w:p w14:paraId="027FBFC5" w14:textId="77777777" w:rsidR="00996600" w:rsidRPr="008B26BA" w:rsidRDefault="00996600" w:rsidP="008619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8EB562" w14:textId="77777777" w:rsidR="0066497A" w:rsidRDefault="0066497A" w:rsidP="0066497A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Essential:</w:t>
            </w:r>
          </w:p>
          <w:p w14:paraId="783C997E" w14:textId="18CDFDCF" w:rsidR="0011587A" w:rsidRDefault="0011587A" w:rsidP="0011587A">
            <w:pPr>
              <w:numPr>
                <w:ilvl w:val="0"/>
                <w:numId w:val="8"/>
              </w:numPr>
              <w:tabs>
                <w:tab w:val="clear" w:pos="720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11587A">
              <w:rPr>
                <w:rFonts w:ascii="Arial" w:hAnsi="Arial" w:cs="Arial"/>
                <w:i/>
                <w:sz w:val="18"/>
                <w:szCs w:val="18"/>
              </w:rPr>
              <w:t xml:space="preserve">Degree in a relevant numerate discipline such as </w:t>
            </w:r>
            <w:r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Pr="0011587A">
              <w:rPr>
                <w:rFonts w:ascii="Arial" w:hAnsi="Arial" w:cs="Arial"/>
                <w:i/>
                <w:sz w:val="18"/>
                <w:szCs w:val="18"/>
              </w:rPr>
              <w:t xml:space="preserve">ngineering or </w:t>
            </w:r>
            <w:r>
              <w:rPr>
                <w:rFonts w:ascii="Arial" w:hAnsi="Arial" w:cs="Arial"/>
                <w:i/>
                <w:sz w:val="18"/>
                <w:szCs w:val="18"/>
              </w:rPr>
              <w:t>M</w:t>
            </w:r>
            <w:r w:rsidRPr="0011587A">
              <w:rPr>
                <w:rFonts w:ascii="Arial" w:hAnsi="Arial" w:cs="Arial"/>
                <w:i/>
                <w:sz w:val="18"/>
                <w:szCs w:val="18"/>
              </w:rPr>
              <w:t>athematical subject</w:t>
            </w:r>
          </w:p>
          <w:p w14:paraId="12343426" w14:textId="77777777" w:rsidR="0066497A" w:rsidRDefault="0066497A" w:rsidP="0066497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797FFF3" w14:textId="39A1E0A7" w:rsidR="0066497A" w:rsidRPr="0011587A" w:rsidRDefault="0066497A" w:rsidP="0066497A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Desirable:</w:t>
            </w:r>
          </w:p>
          <w:p w14:paraId="47D97819" w14:textId="5B9DECC4" w:rsidR="0011587A" w:rsidRPr="0011587A" w:rsidRDefault="0011587A" w:rsidP="0011587A">
            <w:pPr>
              <w:numPr>
                <w:ilvl w:val="0"/>
                <w:numId w:val="8"/>
              </w:numPr>
              <w:tabs>
                <w:tab w:val="clear" w:pos="720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11587A">
              <w:rPr>
                <w:rFonts w:ascii="Arial" w:hAnsi="Arial" w:cs="Arial"/>
                <w:i/>
                <w:sz w:val="18"/>
                <w:szCs w:val="18"/>
              </w:rPr>
              <w:t>Experience in the implementation and delivery of Product</w:t>
            </w:r>
            <w:r w:rsidR="0066497A">
              <w:rPr>
                <w:rFonts w:ascii="Arial" w:hAnsi="Arial" w:cs="Arial"/>
                <w:i/>
                <w:sz w:val="18"/>
                <w:szCs w:val="18"/>
              </w:rPr>
              <w:t>, Software</w:t>
            </w:r>
            <w:r w:rsidRPr="0011587A">
              <w:rPr>
                <w:rFonts w:ascii="Arial" w:hAnsi="Arial" w:cs="Arial"/>
                <w:i/>
                <w:sz w:val="18"/>
                <w:szCs w:val="18"/>
              </w:rPr>
              <w:t xml:space="preserve"> and System Reliability Engineering activities</w:t>
            </w:r>
          </w:p>
          <w:p w14:paraId="7CE144B3" w14:textId="77777777" w:rsidR="0011587A" w:rsidRPr="0011587A" w:rsidRDefault="0011587A" w:rsidP="0011587A">
            <w:pPr>
              <w:numPr>
                <w:ilvl w:val="0"/>
                <w:numId w:val="8"/>
              </w:numPr>
              <w:tabs>
                <w:tab w:val="clear" w:pos="720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11587A">
              <w:rPr>
                <w:rFonts w:ascii="Arial" w:hAnsi="Arial" w:cs="Arial"/>
                <w:i/>
                <w:sz w:val="18"/>
                <w:szCs w:val="18"/>
              </w:rPr>
              <w:t xml:space="preserve">Familiarity with ILS and RM&amp;T </w:t>
            </w:r>
            <w:proofErr w:type="spellStart"/>
            <w:r w:rsidRPr="0011587A">
              <w:rPr>
                <w:rFonts w:ascii="Arial" w:hAnsi="Arial" w:cs="Arial"/>
                <w:i/>
                <w:sz w:val="18"/>
                <w:szCs w:val="18"/>
              </w:rPr>
              <w:t>Defence</w:t>
            </w:r>
            <w:proofErr w:type="spellEnd"/>
            <w:r w:rsidRPr="0011587A">
              <w:rPr>
                <w:rFonts w:ascii="Arial" w:hAnsi="Arial" w:cs="Arial"/>
                <w:i/>
                <w:sz w:val="18"/>
                <w:szCs w:val="18"/>
              </w:rPr>
              <w:t xml:space="preserve"> standards and Military standards:</w:t>
            </w:r>
          </w:p>
          <w:p w14:paraId="6F0F127E" w14:textId="55364C8A" w:rsidR="0066497A" w:rsidRPr="0066497A" w:rsidRDefault="0011587A" w:rsidP="0066497A">
            <w:pPr>
              <w:numPr>
                <w:ilvl w:val="1"/>
                <w:numId w:val="8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11587A">
              <w:rPr>
                <w:rFonts w:ascii="Arial" w:hAnsi="Arial" w:cs="Arial"/>
                <w:i/>
                <w:sz w:val="18"/>
                <w:szCs w:val="18"/>
              </w:rPr>
              <w:t>Def Stan 00-</w:t>
            </w:r>
            <w:r w:rsidR="00DF1350">
              <w:rPr>
                <w:rFonts w:ascii="Arial" w:hAnsi="Arial" w:cs="Arial"/>
                <w:i/>
                <w:sz w:val="18"/>
                <w:szCs w:val="18"/>
              </w:rPr>
              <w:t>0</w:t>
            </w:r>
            <w:r w:rsidRPr="0011587A">
              <w:rPr>
                <w:rFonts w:ascii="Arial" w:hAnsi="Arial" w:cs="Arial"/>
                <w:i/>
                <w:sz w:val="18"/>
                <w:szCs w:val="18"/>
              </w:rPr>
              <w:t>40,00</w:t>
            </w:r>
            <w:r w:rsidR="00DF1350">
              <w:rPr>
                <w:rFonts w:ascii="Arial" w:hAnsi="Arial" w:cs="Arial"/>
                <w:i/>
                <w:sz w:val="18"/>
                <w:szCs w:val="18"/>
              </w:rPr>
              <w:t>0</w:t>
            </w:r>
            <w:r w:rsidRPr="0011587A">
              <w:rPr>
                <w:rFonts w:ascii="Arial" w:hAnsi="Arial" w:cs="Arial"/>
                <w:i/>
                <w:sz w:val="18"/>
                <w:szCs w:val="18"/>
              </w:rPr>
              <w:t>-42, 00-</w:t>
            </w:r>
            <w:r w:rsidR="00DF1350">
              <w:rPr>
                <w:rFonts w:ascii="Arial" w:hAnsi="Arial" w:cs="Arial"/>
                <w:i/>
                <w:sz w:val="18"/>
                <w:szCs w:val="18"/>
              </w:rPr>
              <w:t>0</w:t>
            </w:r>
            <w:r w:rsidRPr="0011587A">
              <w:rPr>
                <w:rFonts w:ascii="Arial" w:hAnsi="Arial" w:cs="Arial"/>
                <w:i/>
                <w:sz w:val="18"/>
                <w:szCs w:val="18"/>
              </w:rPr>
              <w:t>45, 00-600</w:t>
            </w:r>
          </w:p>
          <w:p w14:paraId="024C544A" w14:textId="1964436C" w:rsidR="00515D64" w:rsidRPr="0066497A" w:rsidRDefault="00DF1350" w:rsidP="00515D64">
            <w:pPr>
              <w:numPr>
                <w:ilvl w:val="1"/>
                <w:numId w:val="8"/>
              </w:num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BS EN </w:t>
            </w:r>
            <w:r w:rsidR="0011587A" w:rsidRPr="0011587A">
              <w:rPr>
                <w:rFonts w:ascii="Arial" w:hAnsi="Arial" w:cs="Arial"/>
                <w:i/>
                <w:sz w:val="18"/>
                <w:szCs w:val="18"/>
              </w:rPr>
              <w:t>IEC 60812</w:t>
            </w:r>
          </w:p>
        </w:tc>
      </w:tr>
    </w:tbl>
    <w:p w14:paraId="07546420" w14:textId="77777777" w:rsidR="000D5FA1" w:rsidRPr="00996600" w:rsidRDefault="000D5FA1">
      <w:pPr>
        <w:rPr>
          <w:rFonts w:ascii="Arial" w:hAnsi="Arial" w:cs="Arial"/>
          <w:sz w:val="20"/>
          <w:szCs w:val="20"/>
        </w:rPr>
      </w:pPr>
    </w:p>
    <w:sectPr w:rsidR="000D5FA1" w:rsidRPr="00996600" w:rsidSect="00FC7F06">
      <w:headerReference w:type="default" r:id="rId13"/>
      <w:footerReference w:type="default" r:id="rId14"/>
      <w:pgSz w:w="12240" w:h="15840"/>
      <w:pgMar w:top="90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8FE94" w14:textId="77777777" w:rsidR="00C33729" w:rsidRDefault="00C33729">
      <w:r>
        <w:separator/>
      </w:r>
    </w:p>
  </w:endnote>
  <w:endnote w:type="continuationSeparator" w:id="0">
    <w:p w14:paraId="4B8673BD" w14:textId="77777777" w:rsidR="00C33729" w:rsidRDefault="00C3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F616A" w14:textId="77777777" w:rsidR="00485365" w:rsidRPr="005A692C" w:rsidRDefault="00485365" w:rsidP="005A692C">
    <w:pPr>
      <w:pStyle w:val="Footer"/>
      <w:jc w:val="right"/>
      <w:rPr>
        <w:i/>
        <w:color w:val="808080"/>
        <w:sz w:val="20"/>
        <w:szCs w:val="20"/>
      </w:rPr>
    </w:pPr>
    <w:r w:rsidRPr="005A692C">
      <w:rPr>
        <w:i/>
        <w:color w:val="808080"/>
        <w:sz w:val="20"/>
        <w:szCs w:val="20"/>
      </w:rPr>
      <w:t xml:space="preserve">Page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PAGE </w:instrText>
    </w:r>
    <w:r w:rsidRPr="005A692C">
      <w:rPr>
        <w:i/>
        <w:color w:val="808080"/>
        <w:sz w:val="20"/>
        <w:szCs w:val="20"/>
      </w:rPr>
      <w:fldChar w:fldCharType="separate"/>
    </w:r>
    <w:r w:rsidR="009E02BA">
      <w:rPr>
        <w:i/>
        <w:noProof/>
        <w:color w:val="808080"/>
        <w:sz w:val="20"/>
        <w:szCs w:val="20"/>
      </w:rPr>
      <w:t>1</w:t>
    </w:r>
    <w:r w:rsidRPr="005A692C">
      <w:rPr>
        <w:i/>
        <w:color w:val="808080"/>
        <w:sz w:val="20"/>
        <w:szCs w:val="20"/>
      </w:rPr>
      <w:fldChar w:fldCharType="end"/>
    </w:r>
    <w:r w:rsidRPr="005A692C">
      <w:rPr>
        <w:i/>
        <w:color w:val="808080"/>
        <w:sz w:val="20"/>
        <w:szCs w:val="20"/>
      </w:rPr>
      <w:t xml:space="preserve"> of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NUMPAGES </w:instrText>
    </w:r>
    <w:r w:rsidRPr="005A692C">
      <w:rPr>
        <w:i/>
        <w:color w:val="808080"/>
        <w:sz w:val="20"/>
        <w:szCs w:val="20"/>
      </w:rPr>
      <w:fldChar w:fldCharType="separate"/>
    </w:r>
    <w:r w:rsidR="009E02BA">
      <w:rPr>
        <w:i/>
        <w:noProof/>
        <w:color w:val="808080"/>
        <w:sz w:val="20"/>
        <w:szCs w:val="20"/>
      </w:rPr>
      <w:t>2</w:t>
    </w:r>
    <w:r w:rsidRPr="005A692C">
      <w:rPr>
        <w:i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E2AE5" w14:textId="77777777" w:rsidR="00C33729" w:rsidRDefault="00C33729">
      <w:r>
        <w:separator/>
      </w:r>
    </w:p>
  </w:footnote>
  <w:footnote w:type="continuationSeparator" w:id="0">
    <w:p w14:paraId="1936CE65" w14:textId="77777777" w:rsidR="00C33729" w:rsidRDefault="00C33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574FA" w14:textId="13A7B2AA" w:rsidR="00DE4966" w:rsidRDefault="0011587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52D1E3A7" wp14:editId="6F93C98A">
          <wp:simplePos x="0" y="0"/>
          <wp:positionH relativeFrom="column">
            <wp:posOffset>-405765</wp:posOffset>
          </wp:positionH>
          <wp:positionV relativeFrom="paragraph">
            <wp:posOffset>2540</wp:posOffset>
          </wp:positionV>
          <wp:extent cx="2926080" cy="4089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C57E7A" w14:textId="77777777" w:rsidR="00DE4966" w:rsidRDefault="00DE4966">
    <w:pPr>
      <w:pStyle w:val="Header"/>
    </w:pPr>
    <w:r>
      <w:tab/>
    </w:r>
  </w:p>
  <w:p w14:paraId="3091D847" w14:textId="77777777" w:rsidR="00DE4966" w:rsidRDefault="00DE4966">
    <w:pPr>
      <w:pStyle w:val="Header"/>
    </w:pPr>
  </w:p>
  <w:p w14:paraId="6622D9FB" w14:textId="77777777" w:rsidR="00DE4966" w:rsidRDefault="00DE4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7397E"/>
    <w:multiLevelType w:val="hybridMultilevel"/>
    <w:tmpl w:val="8B20AAE0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6691D"/>
    <w:multiLevelType w:val="hybridMultilevel"/>
    <w:tmpl w:val="96665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B59AB"/>
    <w:multiLevelType w:val="hybridMultilevel"/>
    <w:tmpl w:val="5FD27A52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02E08"/>
    <w:multiLevelType w:val="hybridMultilevel"/>
    <w:tmpl w:val="509A7808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97A91"/>
    <w:multiLevelType w:val="hybridMultilevel"/>
    <w:tmpl w:val="CA84D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253E1"/>
    <w:multiLevelType w:val="hybridMultilevel"/>
    <w:tmpl w:val="4E163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00BE1"/>
    <w:multiLevelType w:val="hybridMultilevel"/>
    <w:tmpl w:val="CD4C7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3018A"/>
    <w:multiLevelType w:val="hybridMultilevel"/>
    <w:tmpl w:val="41A0F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F55BF"/>
    <w:multiLevelType w:val="hybridMultilevel"/>
    <w:tmpl w:val="928EE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F5440"/>
    <w:multiLevelType w:val="hybridMultilevel"/>
    <w:tmpl w:val="D9FA0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A23BF"/>
    <w:multiLevelType w:val="hybridMultilevel"/>
    <w:tmpl w:val="04881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3692634">
    <w:abstractNumId w:val="1"/>
  </w:num>
  <w:num w:numId="2" w16cid:durableId="491877434">
    <w:abstractNumId w:val="6"/>
  </w:num>
  <w:num w:numId="3" w16cid:durableId="336615370">
    <w:abstractNumId w:val="4"/>
  </w:num>
  <w:num w:numId="4" w16cid:durableId="569535633">
    <w:abstractNumId w:val="10"/>
  </w:num>
  <w:num w:numId="5" w16cid:durableId="878518691">
    <w:abstractNumId w:val="8"/>
  </w:num>
  <w:num w:numId="6" w16cid:durableId="282544741">
    <w:abstractNumId w:val="0"/>
  </w:num>
  <w:num w:numId="7" w16cid:durableId="1078477560">
    <w:abstractNumId w:val="2"/>
  </w:num>
  <w:num w:numId="8" w16cid:durableId="1450512333">
    <w:abstractNumId w:val="3"/>
  </w:num>
  <w:num w:numId="9" w16cid:durableId="1168907271">
    <w:abstractNumId w:val="7"/>
  </w:num>
  <w:num w:numId="10" w16cid:durableId="724329193">
    <w:abstractNumId w:val="5"/>
  </w:num>
  <w:num w:numId="11" w16cid:durableId="21020213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4919"/>
    <w:rsid w:val="00016A8B"/>
    <w:rsid w:val="00020D8B"/>
    <w:rsid w:val="000D2F8E"/>
    <w:rsid w:val="000D5FA1"/>
    <w:rsid w:val="000F0E74"/>
    <w:rsid w:val="000F2DBB"/>
    <w:rsid w:val="000F5991"/>
    <w:rsid w:val="0011587A"/>
    <w:rsid w:val="0012007F"/>
    <w:rsid w:val="001367C5"/>
    <w:rsid w:val="001577D8"/>
    <w:rsid w:val="001D6BC9"/>
    <w:rsid w:val="00224F55"/>
    <w:rsid w:val="002749C0"/>
    <w:rsid w:val="002B0D7B"/>
    <w:rsid w:val="00331B1D"/>
    <w:rsid w:val="0034463B"/>
    <w:rsid w:val="00383924"/>
    <w:rsid w:val="00383FDD"/>
    <w:rsid w:val="00390551"/>
    <w:rsid w:val="003E265C"/>
    <w:rsid w:val="003F568E"/>
    <w:rsid w:val="003F60E5"/>
    <w:rsid w:val="0043708A"/>
    <w:rsid w:val="00485365"/>
    <w:rsid w:val="004904A8"/>
    <w:rsid w:val="004A19ED"/>
    <w:rsid w:val="004A61BA"/>
    <w:rsid w:val="004C4677"/>
    <w:rsid w:val="004C58DF"/>
    <w:rsid w:val="00515D64"/>
    <w:rsid w:val="00546D6C"/>
    <w:rsid w:val="00553A88"/>
    <w:rsid w:val="005557A6"/>
    <w:rsid w:val="00587981"/>
    <w:rsid w:val="005A3C30"/>
    <w:rsid w:val="005A692C"/>
    <w:rsid w:val="005C7520"/>
    <w:rsid w:val="005F2E43"/>
    <w:rsid w:val="00616E79"/>
    <w:rsid w:val="00620710"/>
    <w:rsid w:val="0066497A"/>
    <w:rsid w:val="006B66CB"/>
    <w:rsid w:val="006D1027"/>
    <w:rsid w:val="006F5DAB"/>
    <w:rsid w:val="00734913"/>
    <w:rsid w:val="00797428"/>
    <w:rsid w:val="007B509C"/>
    <w:rsid w:val="008030BF"/>
    <w:rsid w:val="00817EEA"/>
    <w:rsid w:val="00817F55"/>
    <w:rsid w:val="008619FC"/>
    <w:rsid w:val="008B2019"/>
    <w:rsid w:val="008B26BA"/>
    <w:rsid w:val="008D23DB"/>
    <w:rsid w:val="0091074A"/>
    <w:rsid w:val="00953818"/>
    <w:rsid w:val="00960D95"/>
    <w:rsid w:val="00990551"/>
    <w:rsid w:val="00996600"/>
    <w:rsid w:val="009C4A42"/>
    <w:rsid w:val="009E02BA"/>
    <w:rsid w:val="009F3A3F"/>
    <w:rsid w:val="00A04919"/>
    <w:rsid w:val="00A67820"/>
    <w:rsid w:val="00A77837"/>
    <w:rsid w:val="00A846CB"/>
    <w:rsid w:val="00A852D1"/>
    <w:rsid w:val="00B31FB6"/>
    <w:rsid w:val="00B523F6"/>
    <w:rsid w:val="00B54122"/>
    <w:rsid w:val="00BE47C6"/>
    <w:rsid w:val="00C26C2D"/>
    <w:rsid w:val="00C33729"/>
    <w:rsid w:val="00C81205"/>
    <w:rsid w:val="00CA4F7D"/>
    <w:rsid w:val="00CA723D"/>
    <w:rsid w:val="00CD663A"/>
    <w:rsid w:val="00CF638B"/>
    <w:rsid w:val="00D344CC"/>
    <w:rsid w:val="00D60789"/>
    <w:rsid w:val="00DE4966"/>
    <w:rsid w:val="00DF1350"/>
    <w:rsid w:val="00E06ED1"/>
    <w:rsid w:val="00E41A55"/>
    <w:rsid w:val="00E7749E"/>
    <w:rsid w:val="00E9125E"/>
    <w:rsid w:val="00EA3C80"/>
    <w:rsid w:val="00EA5514"/>
    <w:rsid w:val="00F17805"/>
    <w:rsid w:val="00F22884"/>
    <w:rsid w:val="00F94512"/>
    <w:rsid w:val="00FB4898"/>
    <w:rsid w:val="00FC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8FE4D9"/>
  <w15:chartTrackingRefBased/>
  <w15:docId w15:val="{3CFDF35A-923E-48BB-B326-078AA7C8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46D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A69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92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E496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ic GD Document" ma:contentTypeID="0x010100F9FC22B7E577CB4CB653915B5A68B86700FC2DC96F29B86B44B35303732A8F17E2" ma:contentTypeVersion="76" ma:contentTypeDescription="" ma:contentTypeScope="" ma:versionID="101fc1c41fcaa78644642e839ce55ff0">
  <xsd:schema xmlns:xsd="http://www.w3.org/2001/XMLSchema" xmlns:xs="http://www.w3.org/2001/XMLSchema" xmlns:p="http://schemas.microsoft.com/office/2006/metadata/properties" xmlns:ns2="f07a21b4-de9f-4943-a892-9f0320b0bf33" targetNamespace="http://schemas.microsoft.com/office/2006/metadata/properties" ma:root="true" ma:fieldsID="ab7db4c7f7c7ea9427734728af42d518" ns2:_="">
    <xsd:import namespace="f07a21b4-de9f-4943-a892-9f0320b0bf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o2c82eda06a14aab9ad882e09b9e558a" minOccurs="0"/>
                <xsd:element ref="ns2:i1da0e82f87c4fc3ad848333d334a34c" minOccurs="0"/>
                <xsd:element ref="ns2:i5bba6a847434eeea0a5fefdf4b6af77" minOccurs="0"/>
                <xsd:element ref="ns2:gc2fb6cad12d4d47b68af611003aaed3" minOccurs="0"/>
                <xsd:element ref="ns2:LLDocumen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21b4-de9f-4943-a892-9f0320b0bf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7da02bec-daed-4b52-901b-a324d04e28ab}" ma:internalName="TaxCatchAll" ma:showField="CatchAllData" ma:web="cbed1141-436a-4bbc-9fa7-1a34e7d02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7da02bec-daed-4b52-901b-a324d04e28ab}" ma:internalName="TaxCatchAllLabel" ma:readOnly="true" ma:showField="CatchAllDataLabel" ma:web="cbed1141-436a-4bbc-9fa7-1a34e7d02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2c82eda06a14aab9ad882e09b9e558a" ma:index="14" nillable="true" ma:taxonomy="true" ma:internalName="o2c82eda06a14aab9ad882e09b9e558a" ma:taxonomyFieldName="Export_x0020_Class" ma:displayName="Export Classification" ma:default="" ma:fieldId="{82c82eda-06a1-4aab-9ad8-82e09b9e558a}" ma:sspId="8e707bbe-73cb-4167-a42c-b1f37d76146f" ma:termSetId="e6caa24b-cc73-424a-92cc-e322cf2ee2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da0e82f87c4fc3ad848333d334a34c" ma:index="15" nillable="true" ma:taxonomy="true" ma:internalName="i1da0e82f87c4fc3ad848333d334a34c" ma:taxonomyFieldName="Security_x0020_Marking" ma:displayName="Security Markings" ma:default="" ma:fieldId="{21da0e82-f87c-4fc3-ad84-8333d334a34c}" ma:sspId="8e707bbe-73cb-4167-a42c-b1f37d76146f" ma:termSetId="fecf6076-060b-4bea-9a38-11af4df963aa" ma:anchorId="4d03b5c7-0548-44a0-b3d5-84234e7abf02" ma:open="false" ma:isKeyword="false">
      <xsd:complexType>
        <xsd:sequence>
          <xsd:element ref="pc:Terms" minOccurs="0" maxOccurs="1"/>
        </xsd:sequence>
      </xsd:complexType>
    </xsd:element>
    <xsd:element name="i5bba6a847434eeea0a5fefdf4b6af77" ma:index="17" nillable="true" ma:taxonomy="true" ma:internalName="i5bba6a847434eeea0a5fefdf4b6af77" ma:taxonomyFieldName="Series_x0020_Code" ma:displayName="Series Code" ma:default="" ma:fieldId="{25bba6a8-4743-4eee-a0a5-fefdf4b6af77}" ma:sspId="8e707bbe-73cb-4167-a42c-b1f37d76146f" ma:termSetId="eb629aeb-e773-49b9-af7d-5e559a3c80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c2fb6cad12d4d47b68af611003aaed3" ma:index="18" nillable="true" ma:taxonomy="true" ma:internalName="gc2fb6cad12d4d47b68af611003aaed3" ma:taxonomyFieldName="Company_x0020_Marking" ma:displayName="Company Markings" ma:default="" ma:fieldId="{0c2fb6ca-d12d-4d47-b68a-f611003aaed3}" ma:sspId="8e707bbe-73cb-4167-a42c-b1f37d76146f" ma:termSetId="43815478-217c-4fff-9e46-453bff9465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LDocumentID" ma:index="19" nillable="true" ma:displayName="LLDocumentID" ma:hidden="true" ma:internalName="LLDocumentID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e707bbe-73cb-4167-a42c-b1f37d76146f" ContentTypeId="0x010100F9FC22B7E577CB4CB653915B5A68B867" PreviousValue="false"/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1da0e82f87c4fc3ad848333d334a34c xmlns="f07a21b4-de9f-4943-a892-9f0320b0bf33">
      <Terms xmlns="http://schemas.microsoft.com/office/infopath/2007/PartnerControls"/>
    </i1da0e82f87c4fc3ad848333d334a34c>
    <o2c82eda06a14aab9ad882e09b9e558a xmlns="f07a21b4-de9f-4943-a892-9f0320b0bf33">
      <Terms xmlns="http://schemas.microsoft.com/office/infopath/2007/PartnerControls"/>
    </o2c82eda06a14aab9ad882e09b9e558a>
    <i5bba6a847434eeea0a5fefdf4b6af77 xmlns="f07a21b4-de9f-4943-a892-9f0320b0bf33">
      <Terms xmlns="http://schemas.microsoft.com/office/infopath/2007/PartnerControls"/>
    </i5bba6a847434eeea0a5fefdf4b6af77>
    <TaxCatchAll xmlns="f07a21b4-de9f-4943-a892-9f0320b0bf33"/>
    <gc2fb6cad12d4d47b68af611003aaed3 xmlns="f07a21b4-de9f-4943-a892-9f0320b0bf33">
      <Terms xmlns="http://schemas.microsoft.com/office/infopath/2007/PartnerControls"/>
    </gc2fb6cad12d4d47b68af611003aaed3>
    <LLDocumentID xmlns="f07a21b4-de9f-4943-a892-9f0320b0bf33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16A94D-F8E9-4D35-A2F5-D1FCA9419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21b4-de9f-4943-a892-9f0320b0b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208F0F-FF27-4DA5-87E1-9CD23430B37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50D9D0B-57F7-4377-A12D-C7F11BAC7C3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A280608-1195-4D63-83F8-11EED6A95B0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53EF71F-5B00-46B2-ABAB-908EF3120879}">
  <ds:schemaRefs>
    <ds:schemaRef ds:uri="http://schemas.microsoft.com/office/2006/metadata/properties"/>
    <ds:schemaRef ds:uri="http://schemas.microsoft.com/office/infopath/2007/PartnerControls"/>
    <ds:schemaRef ds:uri="f07a21b4-de9f-4943-a892-9f0320b0bf33"/>
  </ds:schemaRefs>
</ds:datastoreItem>
</file>

<file path=customXml/itemProps6.xml><?xml version="1.0" encoding="utf-8"?>
<ds:datastoreItem xmlns:ds="http://schemas.openxmlformats.org/officeDocument/2006/customXml" ds:itemID="{8483B69E-D2CD-424B-B6C3-290DD57489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Job Description Template</vt:lpstr>
    </vt:vector>
  </TitlesOfParts>
  <Company>General Dynamics Canada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Job Description Template</dc:title>
  <dc:subject/>
  <dc:creator>c10143</dc:creator>
  <cp:keywords/>
  <cp:lastModifiedBy>Fern Harrhy</cp:lastModifiedBy>
  <cp:revision>2</cp:revision>
  <cp:lastPrinted>2008-08-28T10:13:00Z</cp:lastPrinted>
  <dcterms:created xsi:type="dcterms:W3CDTF">2024-12-17T13:28:00Z</dcterms:created>
  <dcterms:modified xsi:type="dcterms:W3CDTF">2024-12-17T13:28:00Z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>Org Design &amp; Job Descriptions</vt:lpwstr>
  </property>
  <property fmtid="{D5CDD505-2E9C-101B-9397-08002B2CF9AE}" pid="3" name="Security">
    <vt:lpwstr>Proprietary</vt:lpwstr>
  </property>
  <property fmtid="{D5CDD505-2E9C-101B-9397-08002B2CF9AE}" pid="4" name="ContentType">
    <vt:lpwstr>Link to File</vt:lpwstr>
  </property>
  <property fmtid="{D5CDD505-2E9C-101B-9397-08002B2CF9AE}" pid="5" name="URL">
    <vt:lpwstr/>
  </property>
  <property fmtid="{D5CDD505-2E9C-101B-9397-08002B2CF9AE}" pid="6" name="Function">
    <vt:lpwstr>Form</vt:lpwstr>
  </property>
  <property fmtid="{D5CDD505-2E9C-101B-9397-08002B2CF9AE}" pid="7" name="Order">
    <vt:lpwstr>2200.00000000000</vt:lpwstr>
  </property>
  <property fmtid="{D5CDD505-2E9C-101B-9397-08002B2CF9AE}" pid="8" name="Tab Topic">
    <vt:lpwstr>Job Descriptions</vt:lpwstr>
  </property>
  <property fmtid="{D5CDD505-2E9C-101B-9397-08002B2CF9AE}" pid="9" name="IconOverlay">
    <vt:lpwstr/>
  </property>
  <property fmtid="{D5CDD505-2E9C-101B-9397-08002B2CF9AE}" pid="10" name="Grouping Topic">
    <vt:lpwstr>Termination</vt:lpwstr>
  </property>
  <property fmtid="{D5CDD505-2E9C-101B-9397-08002B2CF9AE}" pid="11" name="_dlc_DocId">
    <vt:lpwstr>4K3WS4UFYE7N-1198189009-11</vt:lpwstr>
  </property>
  <property fmtid="{D5CDD505-2E9C-101B-9397-08002B2CF9AE}" pid="12" name="_dlc_DocIdItemGuid">
    <vt:lpwstr>71571c31-b1a2-48bf-b4a8-cdafd3c8d75b</vt:lpwstr>
  </property>
  <property fmtid="{D5CDD505-2E9C-101B-9397-08002B2CF9AE}" pid="13" name="_dlc_DocIdUrl">
    <vt:lpwstr>https://dynamicshub.generaldynamics.uk.com/ss/HumR/_layouts/15/DocIdRedir.aspx?ID=4K3WS4UFYE7N-1198189009-11, 4K3WS4UFYE7N-1198189009-11</vt:lpwstr>
  </property>
  <property fmtid="{D5CDD505-2E9C-101B-9397-08002B2CF9AE}" pid="14" name="i1da0e82f87c4fc3ad848333d334a34c">
    <vt:lpwstr/>
  </property>
  <property fmtid="{D5CDD505-2E9C-101B-9397-08002B2CF9AE}" pid="15" name="o2c82eda06a14aab9ad882e09b9e558a">
    <vt:lpwstr/>
  </property>
  <property fmtid="{D5CDD505-2E9C-101B-9397-08002B2CF9AE}" pid="16" name="i5bba6a847434eeea0a5fefdf4b6af77">
    <vt:lpwstr/>
  </property>
  <property fmtid="{D5CDD505-2E9C-101B-9397-08002B2CF9AE}" pid="17" name="TaxCatchAll">
    <vt:lpwstr/>
  </property>
  <property fmtid="{D5CDD505-2E9C-101B-9397-08002B2CF9AE}" pid="18" name="gc2fb6cad12d4d47b68af611003aaed3">
    <vt:lpwstr/>
  </property>
  <property fmtid="{D5CDD505-2E9C-101B-9397-08002B2CF9AE}" pid="19" name="LLDocumentID">
    <vt:lpwstr/>
  </property>
  <property fmtid="{D5CDD505-2E9C-101B-9397-08002B2CF9AE}" pid="20" name="MSIP_Label_defa4170-0d19-0005-0004-bc88714345d2_Enabled">
    <vt:lpwstr>true</vt:lpwstr>
  </property>
  <property fmtid="{D5CDD505-2E9C-101B-9397-08002B2CF9AE}" pid="21" name="MSIP_Label_defa4170-0d19-0005-0004-bc88714345d2_SetDate">
    <vt:lpwstr>2024-11-26T13:43:22Z</vt:lpwstr>
  </property>
  <property fmtid="{D5CDD505-2E9C-101B-9397-08002B2CF9AE}" pid="22" name="MSIP_Label_defa4170-0d19-0005-0004-bc88714345d2_Method">
    <vt:lpwstr>Standard</vt:lpwstr>
  </property>
  <property fmtid="{D5CDD505-2E9C-101B-9397-08002B2CF9AE}" pid="23" name="MSIP_Label_defa4170-0d19-0005-0004-bc88714345d2_Name">
    <vt:lpwstr>defa4170-0d19-0005-0004-bc88714345d2</vt:lpwstr>
  </property>
  <property fmtid="{D5CDD505-2E9C-101B-9397-08002B2CF9AE}" pid="24" name="MSIP_Label_defa4170-0d19-0005-0004-bc88714345d2_SiteId">
    <vt:lpwstr>27f52091-606b-431f-bc74-4aaec2a82414</vt:lpwstr>
  </property>
  <property fmtid="{D5CDD505-2E9C-101B-9397-08002B2CF9AE}" pid="25" name="MSIP_Label_defa4170-0d19-0005-0004-bc88714345d2_ActionId">
    <vt:lpwstr>ab8ef036-3877-47af-85f3-367e4f619d8b</vt:lpwstr>
  </property>
  <property fmtid="{D5CDD505-2E9C-101B-9397-08002B2CF9AE}" pid="26" name="MSIP_Label_defa4170-0d19-0005-0004-bc88714345d2_ContentBits">
    <vt:lpwstr>0</vt:lpwstr>
  </property>
</Properties>
</file>