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22FE90C2" w14:textId="32541E54" w:rsidR="00EF5CFF" w:rsidRPr="002A442A" w:rsidRDefault="002A442A" w:rsidP="00EF5CFF">
      <w:pPr>
        <w:spacing w:after="0" w:line="240" w:lineRule="auto"/>
        <w:jc w:val="center"/>
        <w:rPr>
          <w:rFonts w:cstheme="minorHAnsi"/>
        </w:rPr>
      </w:pPr>
      <w:r w:rsidRPr="002A442A">
        <w:rPr>
          <w:rFonts w:cstheme="minorHAnsi"/>
        </w:rPr>
        <w:t>Governance and Risk</w:t>
      </w:r>
    </w:p>
    <w:p w14:paraId="2FCE8ECB" w14:textId="1FC10209" w:rsidR="002A442A" w:rsidRPr="002A442A" w:rsidRDefault="002A442A" w:rsidP="00EF5CFF">
      <w:pPr>
        <w:spacing w:after="0" w:line="240" w:lineRule="auto"/>
        <w:jc w:val="center"/>
        <w:rPr>
          <w:rFonts w:cstheme="minorHAnsi"/>
        </w:rPr>
      </w:pPr>
      <w:r w:rsidRPr="002A442A">
        <w:rPr>
          <w:rFonts w:cstheme="minorHAnsi"/>
        </w:rPr>
        <w:t>Information Governance</w:t>
      </w: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0DBB585D" w14:textId="31BF5C9F" w:rsidR="00921E4C" w:rsidRPr="00D13DB6" w:rsidRDefault="002A442A">
            <w:pPr>
              <w:rPr>
                <w:rFonts w:cstheme="minorHAnsi"/>
              </w:rPr>
            </w:pPr>
            <w:r>
              <w:rPr>
                <w:rFonts w:cstheme="minorHAnsi"/>
              </w:rPr>
              <w:t>Head of Information Governance and Dat</w:t>
            </w:r>
            <w:r w:rsidR="00200961">
              <w:rPr>
                <w:rFonts w:cstheme="minorHAnsi"/>
              </w:rPr>
              <w:t>a</w:t>
            </w:r>
            <w:r>
              <w:rPr>
                <w:rFonts w:cstheme="minorHAnsi"/>
              </w:rPr>
              <w:t xml:space="preserve"> Protection Officer (DPO)</w:t>
            </w: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36DEA612" w14:textId="77777777" w:rsidR="002A442A" w:rsidRDefault="00775F9E" w:rsidP="00775F9E">
            <w:pPr>
              <w:rPr>
                <w:rFonts w:cstheme="minorHAnsi"/>
              </w:rPr>
            </w:pPr>
            <w:r>
              <w:rPr>
                <w:rFonts w:cstheme="minorHAnsi"/>
              </w:rPr>
              <w:t xml:space="preserve">Associate </w:t>
            </w:r>
            <w:r w:rsidR="002A442A">
              <w:rPr>
                <w:rFonts w:cstheme="minorHAnsi"/>
              </w:rPr>
              <w:t xml:space="preserve">Director of </w:t>
            </w:r>
            <w:r>
              <w:rPr>
                <w:rFonts w:cstheme="minorHAnsi"/>
              </w:rPr>
              <w:t xml:space="preserve">Corporate </w:t>
            </w:r>
            <w:r w:rsidR="002A442A">
              <w:rPr>
                <w:rFonts w:cstheme="minorHAnsi"/>
              </w:rPr>
              <w:t>Governance</w:t>
            </w:r>
          </w:p>
          <w:p w14:paraId="2BCC2E95" w14:textId="19085082" w:rsidR="00200961" w:rsidRPr="00D13DB6" w:rsidRDefault="00200961" w:rsidP="00775F9E">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0B821560" w14:textId="77777777" w:rsidR="002A442A" w:rsidRPr="002A442A" w:rsidRDefault="002A442A" w:rsidP="002A442A">
            <w:pPr>
              <w:rPr>
                <w:rFonts w:cstheme="minorHAnsi"/>
              </w:rPr>
            </w:pPr>
            <w:r>
              <w:rPr>
                <w:rFonts w:cstheme="minorHAnsi"/>
              </w:rPr>
              <w:t xml:space="preserve">Director of </w:t>
            </w:r>
            <w:r w:rsidRPr="002A442A">
              <w:rPr>
                <w:rFonts w:cstheme="minorHAnsi"/>
              </w:rPr>
              <w:t>Governance and Risk</w:t>
            </w:r>
          </w:p>
          <w:p w14:paraId="188C18C1" w14:textId="187ACB49"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53AAD13" w14:textId="67A8FD53" w:rsidR="00921E4C" w:rsidRPr="00D13DB6" w:rsidRDefault="002A442A">
            <w:pPr>
              <w:rPr>
                <w:rFonts w:cstheme="minorHAnsi"/>
              </w:rPr>
            </w:pPr>
            <w:r>
              <w:rPr>
                <w:rFonts w:cstheme="minorHAnsi"/>
              </w:rPr>
              <w:t>8a</w:t>
            </w:r>
          </w:p>
          <w:p w14:paraId="46361E4A" w14:textId="77777777" w:rsidR="00921E4C" w:rsidRPr="00D13DB6" w:rsidRDefault="00921E4C">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67C17A20" w14:textId="590B5083" w:rsidR="00654E1D" w:rsidRDefault="009C18C0" w:rsidP="000239E7">
      <w:pPr>
        <w:spacing w:before="120" w:after="0" w:line="240" w:lineRule="auto"/>
        <w:contextualSpacing/>
        <w:rPr>
          <w:rFonts w:cstheme="minorHAnsi"/>
        </w:rPr>
      </w:pPr>
      <w:bookmarkStart w:id="0" w:name="_Hlk169774405"/>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r w:rsidR="00654E1D">
        <w:rPr>
          <w:rFonts w:cstheme="minorHAnsi"/>
        </w:rPr>
        <w:t xml:space="preserve"> </w:t>
      </w:r>
    </w:p>
    <w:p w14:paraId="2CABFA6C" w14:textId="77777777" w:rsidR="00654E1D" w:rsidRDefault="00654E1D" w:rsidP="000239E7">
      <w:pPr>
        <w:spacing w:before="120" w:after="0" w:line="240" w:lineRule="auto"/>
        <w:contextualSpacing/>
        <w:rPr>
          <w:rFonts w:cstheme="minorHAnsi"/>
        </w:rPr>
      </w:pPr>
    </w:p>
    <w:p w14:paraId="37309E8A" w14:textId="37A21FCC" w:rsidR="000A2724" w:rsidRDefault="00654E1D" w:rsidP="000239E7">
      <w:pPr>
        <w:spacing w:before="120" w:after="0" w:line="240" w:lineRule="auto"/>
        <w:contextualSpacing/>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p w14:paraId="09C3D796" w14:textId="77777777" w:rsidR="000A2724" w:rsidRDefault="000A2724" w:rsidP="000239E7">
      <w:pPr>
        <w:spacing w:before="120" w:after="0" w:line="240" w:lineRule="auto"/>
        <w:contextualSpacing/>
        <w:rPr>
          <w:rFonts w:cstheme="minorHAnsi"/>
        </w:rPr>
      </w:pPr>
    </w:p>
    <w:p w14:paraId="48D1AC39" w14:textId="5F3EDD7C" w:rsidR="000A2724" w:rsidRPr="000A2724" w:rsidRDefault="000A2724" w:rsidP="000239E7">
      <w:pPr>
        <w:spacing w:before="120" w:after="0" w:line="240" w:lineRule="auto"/>
        <w:contextualSpacing/>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0239E7">
      <w:pPr>
        <w:spacing w:before="120" w:after="0" w:line="240" w:lineRule="auto"/>
        <w:contextualSpacing/>
        <w:rPr>
          <w:rFonts w:cstheme="minorHAnsi"/>
        </w:rPr>
      </w:pPr>
    </w:p>
    <w:p w14:paraId="2F63226E" w14:textId="3098CEE3" w:rsidR="00CB7D2A" w:rsidRPr="00D13DB6" w:rsidRDefault="00F82AF9" w:rsidP="000239E7">
      <w:pPr>
        <w:spacing w:before="120" w:after="0" w:line="240" w:lineRule="auto"/>
        <w:contextualSpacing/>
        <w:rPr>
          <w:rFonts w:cstheme="minorHAnsi"/>
          <w:b/>
          <w:bCs/>
        </w:rPr>
      </w:pPr>
      <w:r w:rsidRPr="00D13DB6">
        <w:rPr>
          <w:rFonts w:cstheme="minorHAnsi"/>
          <w:b/>
          <w:bCs/>
        </w:rPr>
        <w:t xml:space="preserve">Job purpose </w:t>
      </w:r>
    </w:p>
    <w:p w14:paraId="1D1DD431" w14:textId="0BFCF3F4" w:rsidR="00654E1D" w:rsidRDefault="002A442A" w:rsidP="000239E7">
      <w:pPr>
        <w:spacing w:before="120" w:after="0" w:line="240" w:lineRule="auto"/>
        <w:contextualSpacing/>
        <w:rPr>
          <w:rFonts w:cstheme="minorHAnsi"/>
        </w:rPr>
      </w:pPr>
      <w:r w:rsidRPr="00714010">
        <w:rPr>
          <w:rFonts w:cstheme="minorHAnsi"/>
        </w:rPr>
        <w:t xml:space="preserve">To </w:t>
      </w:r>
      <w:r w:rsidRPr="00714010">
        <w:rPr>
          <w:rFonts w:ascii="Calibri" w:eastAsia="Calibri" w:hAnsi="Calibri" w:cs="Times New Roman"/>
          <w:kern w:val="0"/>
          <w14:ligatures w14:val="none"/>
        </w:rPr>
        <w:t xml:space="preserve">ensure both Trusts meet their legal and regulatory obligations associated with </w:t>
      </w:r>
      <w:r>
        <w:rPr>
          <w:rFonts w:ascii="Calibri" w:eastAsia="Calibri" w:hAnsi="Calibri" w:cs="Times New Roman"/>
          <w:kern w:val="0"/>
          <w14:ligatures w14:val="none"/>
        </w:rPr>
        <w:t>information governance and data protection</w:t>
      </w:r>
      <w:r w:rsidRPr="00714010">
        <w:rPr>
          <w:rFonts w:ascii="Calibri" w:eastAsia="Calibri" w:hAnsi="Calibri" w:cs="Times New Roman"/>
          <w:kern w:val="0"/>
          <w14:ligatures w14:val="none"/>
        </w:rPr>
        <w:t xml:space="preserve"> and to ensure that there are robust arrangements in place to continue to be well led organisations. This includes assurance and escalation as necessary. </w:t>
      </w:r>
    </w:p>
    <w:p w14:paraId="10D74EDE" w14:textId="77777777" w:rsidR="00CB7D2A" w:rsidRPr="00D13DB6" w:rsidRDefault="00CB7D2A" w:rsidP="00CB7D2A">
      <w:pPr>
        <w:spacing w:after="0" w:line="240" w:lineRule="auto"/>
        <w:rPr>
          <w:rFonts w:cstheme="minorHAnsi"/>
          <w:b/>
          <w:bCs/>
        </w:rPr>
      </w:pP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4F19C10" w14:textId="446BD211" w:rsidR="0067376E" w:rsidRPr="00F659C1" w:rsidRDefault="00200961" w:rsidP="00F659C1">
      <w:pPr>
        <w:numPr>
          <w:ilvl w:val="0"/>
          <w:numId w:val="31"/>
        </w:numPr>
        <w:spacing w:before="120" w:after="0" w:line="240" w:lineRule="auto"/>
        <w:jc w:val="both"/>
        <w:rPr>
          <w:rFonts w:cstheme="minorHAnsi"/>
          <w:szCs w:val="20"/>
        </w:rPr>
      </w:pPr>
      <w:r w:rsidRPr="00F659C1">
        <w:rPr>
          <w:rFonts w:cstheme="minorHAnsi"/>
          <w:szCs w:val="20"/>
        </w:rPr>
        <w:t>Using expertise to a</w:t>
      </w:r>
      <w:r w:rsidR="0067376E" w:rsidRPr="00F659C1">
        <w:rPr>
          <w:rFonts w:cstheme="minorHAnsi"/>
          <w:szCs w:val="20"/>
        </w:rPr>
        <w:t xml:space="preserve">dvise the </w:t>
      </w:r>
      <w:r w:rsidR="00213E8D" w:rsidRPr="00F659C1">
        <w:rPr>
          <w:rFonts w:cstheme="minorHAnsi"/>
          <w:szCs w:val="20"/>
        </w:rPr>
        <w:t>Senior Information Risk Owner (</w:t>
      </w:r>
      <w:r w:rsidR="0067376E" w:rsidRPr="00F659C1">
        <w:rPr>
          <w:rFonts w:cstheme="minorHAnsi"/>
          <w:szCs w:val="20"/>
        </w:rPr>
        <w:t>SIRO</w:t>
      </w:r>
      <w:r w:rsidR="00213E8D" w:rsidRPr="00F659C1">
        <w:rPr>
          <w:rFonts w:cstheme="minorHAnsi"/>
          <w:szCs w:val="20"/>
        </w:rPr>
        <w:t>)</w:t>
      </w:r>
      <w:r w:rsidR="0067376E" w:rsidRPr="00F659C1">
        <w:rPr>
          <w:rFonts w:cstheme="minorHAnsi"/>
          <w:szCs w:val="20"/>
        </w:rPr>
        <w:t xml:space="preserve"> and Caldicott Guardian to ensure they fulfil their responsibilities effectively. </w:t>
      </w:r>
    </w:p>
    <w:p w14:paraId="7197392D" w14:textId="26521206" w:rsidR="006955FA" w:rsidRPr="00F659C1" w:rsidRDefault="006955FA" w:rsidP="00F659C1">
      <w:pPr>
        <w:numPr>
          <w:ilvl w:val="0"/>
          <w:numId w:val="31"/>
        </w:numPr>
        <w:spacing w:before="120" w:after="0" w:line="240" w:lineRule="auto"/>
        <w:jc w:val="both"/>
        <w:rPr>
          <w:rFonts w:cstheme="minorHAnsi"/>
          <w:szCs w:val="20"/>
        </w:rPr>
      </w:pPr>
      <w:r w:rsidRPr="00F659C1">
        <w:rPr>
          <w:rFonts w:cstheme="minorHAnsi"/>
          <w:szCs w:val="20"/>
        </w:rPr>
        <w:t xml:space="preserve">Providing strategic leadership on Information </w:t>
      </w:r>
      <w:r w:rsidR="00200961" w:rsidRPr="00F659C1">
        <w:rPr>
          <w:rFonts w:cstheme="minorHAnsi"/>
          <w:szCs w:val="20"/>
        </w:rPr>
        <w:t>and providing assurance that the Trust’s are compliant with regulations and national guidance regarding information governance</w:t>
      </w:r>
    </w:p>
    <w:p w14:paraId="517976FF" w14:textId="2C2EF9F4" w:rsidR="006955FA" w:rsidRPr="00F659C1" w:rsidRDefault="006955FA" w:rsidP="00F659C1">
      <w:pPr>
        <w:numPr>
          <w:ilvl w:val="0"/>
          <w:numId w:val="31"/>
        </w:numPr>
        <w:spacing w:before="120" w:after="0" w:line="240" w:lineRule="auto"/>
        <w:jc w:val="both"/>
        <w:rPr>
          <w:rFonts w:cstheme="minorHAnsi"/>
          <w:szCs w:val="20"/>
        </w:rPr>
      </w:pPr>
      <w:r w:rsidRPr="00F659C1">
        <w:rPr>
          <w:rFonts w:cstheme="minorHAnsi"/>
          <w:szCs w:val="20"/>
        </w:rPr>
        <w:t>Lead on the development and monitoring of the Trusts</w:t>
      </w:r>
      <w:r w:rsidR="00BF0604" w:rsidRPr="00F659C1">
        <w:rPr>
          <w:rFonts w:cstheme="minorHAnsi"/>
          <w:szCs w:val="20"/>
        </w:rPr>
        <w:t>’</w:t>
      </w:r>
      <w:r w:rsidRPr="00F659C1">
        <w:rPr>
          <w:rFonts w:cstheme="minorHAnsi"/>
          <w:szCs w:val="20"/>
        </w:rPr>
        <w:t xml:space="preserve"> Information Governance Strategy</w:t>
      </w:r>
      <w:r w:rsidR="00200961" w:rsidRPr="00F659C1">
        <w:rPr>
          <w:rFonts w:cstheme="minorHAnsi"/>
          <w:szCs w:val="20"/>
        </w:rPr>
        <w:t xml:space="preserve"> and associated policies.</w:t>
      </w:r>
    </w:p>
    <w:p w14:paraId="612E3AF3" w14:textId="69FDF010" w:rsidR="00317DEE" w:rsidRPr="00F659C1" w:rsidRDefault="00317DEE" w:rsidP="00F659C1">
      <w:pPr>
        <w:numPr>
          <w:ilvl w:val="0"/>
          <w:numId w:val="31"/>
        </w:numPr>
        <w:spacing w:before="120" w:after="0" w:line="240" w:lineRule="auto"/>
        <w:jc w:val="both"/>
        <w:rPr>
          <w:rFonts w:cstheme="minorHAnsi"/>
          <w:szCs w:val="20"/>
        </w:rPr>
      </w:pPr>
      <w:r w:rsidRPr="00F659C1">
        <w:rPr>
          <w:rFonts w:cstheme="minorHAnsi"/>
          <w:szCs w:val="20"/>
        </w:rPr>
        <w:t xml:space="preserve">Act as a primary point </w:t>
      </w:r>
      <w:bookmarkStart w:id="1" w:name="_Hlk178246043"/>
      <w:r w:rsidR="00200961" w:rsidRPr="00F659C1">
        <w:rPr>
          <w:rFonts w:cstheme="minorHAnsi"/>
          <w:szCs w:val="20"/>
        </w:rPr>
        <w:t xml:space="preserve">of contact </w:t>
      </w:r>
      <w:r w:rsidRPr="00F659C1">
        <w:rPr>
          <w:rFonts w:cstheme="minorHAnsi"/>
          <w:szCs w:val="20"/>
        </w:rPr>
        <w:t>for data subjects and the Information Commissioner’s Office</w:t>
      </w:r>
      <w:bookmarkEnd w:id="1"/>
      <w:r w:rsidRPr="00F659C1">
        <w:rPr>
          <w:rFonts w:cstheme="minorHAnsi"/>
          <w:szCs w:val="20"/>
        </w:rPr>
        <w:t>.</w:t>
      </w:r>
    </w:p>
    <w:p w14:paraId="103371FF" w14:textId="0B0609FE" w:rsidR="003A639A" w:rsidRPr="00F659C1" w:rsidRDefault="003A639A" w:rsidP="00F659C1">
      <w:pPr>
        <w:numPr>
          <w:ilvl w:val="0"/>
          <w:numId w:val="31"/>
        </w:numPr>
        <w:spacing w:before="120" w:after="0" w:line="240" w:lineRule="auto"/>
        <w:jc w:val="both"/>
        <w:rPr>
          <w:rFonts w:cstheme="minorHAnsi"/>
          <w:szCs w:val="20"/>
        </w:rPr>
      </w:pPr>
      <w:r w:rsidRPr="00F659C1">
        <w:rPr>
          <w:rFonts w:cstheme="minorHAnsi"/>
          <w:szCs w:val="20"/>
        </w:rPr>
        <w:t xml:space="preserve">Provide </w:t>
      </w:r>
      <w:r w:rsidR="00200961" w:rsidRPr="00F659C1">
        <w:rPr>
          <w:rFonts w:cstheme="minorHAnsi"/>
          <w:szCs w:val="20"/>
        </w:rPr>
        <w:t xml:space="preserve">overall </w:t>
      </w:r>
      <w:r w:rsidRPr="00F659C1">
        <w:rPr>
          <w:rFonts w:cstheme="minorHAnsi"/>
          <w:szCs w:val="20"/>
        </w:rPr>
        <w:t xml:space="preserve">leadership and management for the Information Governance function. </w:t>
      </w:r>
    </w:p>
    <w:p w14:paraId="278A6323" w14:textId="5467588A" w:rsidR="00CB7D2A" w:rsidRPr="006955FA" w:rsidRDefault="00CB7D2A" w:rsidP="006955FA">
      <w:pPr>
        <w:pStyle w:val="ListParagraph"/>
        <w:spacing w:after="0" w:line="240" w:lineRule="auto"/>
        <w:rPr>
          <w:rFonts w:cstheme="minorHAnsi"/>
          <w:b/>
          <w:bCs/>
        </w:rPr>
      </w:pPr>
    </w:p>
    <w:p w14:paraId="2E227BF4" w14:textId="77777777" w:rsidR="00654E1D" w:rsidRDefault="00654E1D" w:rsidP="00CB7D2A">
      <w:pPr>
        <w:spacing w:after="0" w:line="240" w:lineRule="auto"/>
        <w:rPr>
          <w:rFonts w:cstheme="minorHAnsi"/>
          <w:b/>
          <w:bCs/>
        </w:rPr>
      </w:pPr>
    </w:p>
    <w:p w14:paraId="402FA937" w14:textId="77777777" w:rsidR="00654E1D" w:rsidRDefault="00654E1D" w:rsidP="00CB7D2A">
      <w:pPr>
        <w:spacing w:after="0" w:line="240" w:lineRule="auto"/>
        <w:rPr>
          <w:rFonts w:cstheme="minorHAnsi"/>
          <w:b/>
          <w:bCs/>
        </w:rPr>
      </w:pPr>
    </w:p>
    <w:p w14:paraId="3E9FBB16" w14:textId="77777777" w:rsidR="005E6CD7" w:rsidRDefault="005E6CD7">
      <w:pPr>
        <w:rPr>
          <w:rFonts w:cstheme="minorHAnsi"/>
          <w:b/>
          <w:bCs/>
        </w:rPr>
      </w:pPr>
      <w:r>
        <w:rPr>
          <w:rFonts w:cstheme="minorHAnsi"/>
          <w:b/>
          <w:bCs/>
        </w:rPr>
        <w:br w:type="page"/>
      </w:r>
    </w:p>
    <w:p w14:paraId="2E88CB5F" w14:textId="4471037D" w:rsidR="00CB7D2A" w:rsidRDefault="00CB7D2A" w:rsidP="00CB7D2A">
      <w:pPr>
        <w:spacing w:after="0" w:line="240" w:lineRule="auto"/>
        <w:rPr>
          <w:rFonts w:cstheme="minorHAnsi"/>
          <w:b/>
          <w:bCs/>
        </w:rPr>
      </w:pPr>
      <w:r w:rsidRPr="00D13DB6">
        <w:rPr>
          <w:rFonts w:cstheme="minorHAnsi"/>
          <w:b/>
          <w:bCs/>
        </w:rPr>
        <w:lastRenderedPageBreak/>
        <w:t>Organisational Chart</w:t>
      </w:r>
    </w:p>
    <w:p w14:paraId="36B56F30" w14:textId="77777777" w:rsidR="00F659C1" w:rsidRPr="00D13DB6" w:rsidRDefault="00F659C1" w:rsidP="00CB7D2A">
      <w:pPr>
        <w:spacing w:after="0" w:line="240" w:lineRule="auto"/>
        <w:rPr>
          <w:rFonts w:cstheme="minorHAnsi"/>
          <w:b/>
          <w:bCs/>
        </w:rPr>
      </w:pPr>
    </w:p>
    <w:p w14:paraId="34F909F2" w14:textId="3E6971CA" w:rsidR="00D13DB6" w:rsidRDefault="00F13768" w:rsidP="005E6CD7">
      <w:pPr>
        <w:spacing w:after="0" w:line="240" w:lineRule="auto"/>
        <w:jc w:val="center"/>
        <w:rPr>
          <w:b/>
          <w:bCs/>
        </w:rPr>
      </w:pPr>
      <w:r>
        <w:rPr>
          <w:b/>
          <w:bCs/>
          <w:noProof/>
        </w:rPr>
        <w:drawing>
          <wp:inline distT="0" distB="0" distL="0" distR="0" wp14:anchorId="6E3F2002" wp14:editId="68717E19">
            <wp:extent cx="4774517" cy="4352925"/>
            <wp:effectExtent l="0" t="0" r="7620" b="0"/>
            <wp:docPr id="2131841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411" name="Picture 1" descr="A diagram of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77597" cy="4355733"/>
                    </a:xfrm>
                    <a:prstGeom prst="rect">
                      <a:avLst/>
                    </a:prstGeom>
                  </pic:spPr>
                </pic:pic>
              </a:graphicData>
            </a:graphic>
          </wp:inline>
        </w:drawing>
      </w:r>
    </w:p>
    <w:p w14:paraId="0C6579EB" w14:textId="77777777" w:rsidR="000A2724" w:rsidRDefault="000A2724" w:rsidP="00603CA0">
      <w:pPr>
        <w:tabs>
          <w:tab w:val="center" w:pos="4212"/>
          <w:tab w:val="right" w:pos="8430"/>
        </w:tabs>
        <w:spacing w:line="240" w:lineRule="exact"/>
        <w:rPr>
          <w:rFonts w:cstheme="minorHAnsi"/>
          <w:b/>
          <w:bCs/>
        </w:rPr>
      </w:pPr>
    </w:p>
    <w:p w14:paraId="39991A2C" w14:textId="4CA42D82" w:rsidR="00603CA0" w:rsidRDefault="005E6CD7" w:rsidP="00603CA0">
      <w:pPr>
        <w:tabs>
          <w:tab w:val="center" w:pos="4212"/>
          <w:tab w:val="right" w:pos="8430"/>
        </w:tabs>
        <w:spacing w:line="240" w:lineRule="exact"/>
        <w:rPr>
          <w:rFonts w:cstheme="minorHAnsi"/>
          <w:b/>
          <w:bCs/>
        </w:rPr>
      </w:pPr>
      <w:r>
        <w:rPr>
          <w:rFonts w:cstheme="minorHAnsi"/>
          <w:b/>
          <w:bCs/>
        </w:rPr>
        <w:t>S</w:t>
      </w:r>
      <w:r w:rsidR="00603CA0" w:rsidRPr="00603CA0">
        <w:rPr>
          <w:rFonts w:cstheme="minorHAnsi"/>
          <w:b/>
          <w:bCs/>
        </w:rPr>
        <w:t>pecific Core Functions</w:t>
      </w:r>
    </w:p>
    <w:p w14:paraId="64A6FA6D" w14:textId="44009C06" w:rsidR="00A141BC" w:rsidRPr="00F659C1" w:rsidRDefault="00A141BC" w:rsidP="00F659C1">
      <w:pPr>
        <w:numPr>
          <w:ilvl w:val="0"/>
          <w:numId w:val="38"/>
        </w:numPr>
        <w:spacing w:before="120" w:after="0" w:line="240" w:lineRule="auto"/>
        <w:jc w:val="both"/>
        <w:rPr>
          <w:rFonts w:cstheme="minorHAnsi"/>
          <w:szCs w:val="20"/>
        </w:rPr>
      </w:pPr>
      <w:r w:rsidRPr="00F659C1">
        <w:rPr>
          <w:rFonts w:cstheme="minorHAnsi"/>
          <w:szCs w:val="20"/>
        </w:rPr>
        <w:t>Act as the Data protection Officer for both Isle of Wight NHS Trust and Portsmouth Hospitals University NHS Trust.</w:t>
      </w:r>
    </w:p>
    <w:p w14:paraId="0E720D9E" w14:textId="71DD432F" w:rsidR="005A0CC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Act as the Trusts</w:t>
      </w:r>
      <w:r w:rsidR="00A141BC" w:rsidRPr="00F659C1">
        <w:rPr>
          <w:rFonts w:cstheme="minorHAnsi"/>
          <w:szCs w:val="20"/>
        </w:rPr>
        <w:t>’</w:t>
      </w:r>
      <w:r w:rsidRPr="00F659C1">
        <w:rPr>
          <w:rFonts w:cstheme="minorHAnsi"/>
          <w:szCs w:val="20"/>
        </w:rPr>
        <w:t xml:space="preserve"> expert for Information Governance, having an in-depth knowledge of the complexity and relevance of appropriate legislation. Apply this detailed knowledge to analysing levels of Information Governance compliance across the organisation, interpreting evidence and using well-developed judgement skills to assess working practices. Counsel about legal &amp; regulatory compliance.  Involved</w:t>
      </w:r>
      <w:r w:rsidR="005A0CCA" w:rsidRPr="00F659C1">
        <w:rPr>
          <w:rFonts w:cstheme="minorHAnsi"/>
          <w:szCs w:val="20"/>
        </w:rPr>
        <w:t xml:space="preserve"> as a key </w:t>
      </w:r>
      <w:r w:rsidR="00A141BC" w:rsidRPr="00F659C1">
        <w:rPr>
          <w:rFonts w:cstheme="minorHAnsi"/>
          <w:szCs w:val="20"/>
        </w:rPr>
        <w:t>stakeholder</w:t>
      </w:r>
      <w:r w:rsidRPr="00F659C1">
        <w:rPr>
          <w:rFonts w:cstheme="minorHAnsi"/>
          <w:szCs w:val="20"/>
        </w:rPr>
        <w:t xml:space="preserve"> in all issues which relate to the protection of personal data.  </w:t>
      </w:r>
    </w:p>
    <w:p w14:paraId="27776375" w14:textId="3539FC1E" w:rsidR="00317DEE" w:rsidRPr="00F659C1" w:rsidRDefault="00317DEE" w:rsidP="00F659C1">
      <w:pPr>
        <w:numPr>
          <w:ilvl w:val="0"/>
          <w:numId w:val="38"/>
        </w:numPr>
        <w:spacing w:before="120" w:after="0" w:line="240" w:lineRule="auto"/>
        <w:jc w:val="both"/>
        <w:rPr>
          <w:rFonts w:cstheme="minorHAnsi"/>
          <w:szCs w:val="20"/>
        </w:rPr>
      </w:pPr>
      <w:r w:rsidRPr="00F659C1">
        <w:rPr>
          <w:rFonts w:cstheme="minorHAnsi"/>
          <w:szCs w:val="20"/>
        </w:rPr>
        <w:t xml:space="preserve">Act as a primary contact point for data subjects and the Information Commissioner’s Office ensuring that there are clear systems and processes in place to facilitate this in both </w:t>
      </w:r>
      <w:r w:rsidR="00960B83" w:rsidRPr="00F659C1">
        <w:rPr>
          <w:rFonts w:cstheme="minorHAnsi"/>
          <w:szCs w:val="20"/>
        </w:rPr>
        <w:t>T</w:t>
      </w:r>
      <w:r w:rsidRPr="00F659C1">
        <w:rPr>
          <w:rFonts w:cstheme="minorHAnsi"/>
          <w:szCs w:val="20"/>
        </w:rPr>
        <w:t>rusts.</w:t>
      </w:r>
    </w:p>
    <w:p w14:paraId="007B6DE9" w14:textId="1B79FBAC"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Sufficient understanding of the processing operations carried out, as well as the information systems and data security and data protection needs of the Trust</w:t>
      </w:r>
      <w:r w:rsidR="005A0CCA" w:rsidRPr="00F659C1">
        <w:rPr>
          <w:rFonts w:cstheme="minorHAnsi"/>
          <w:szCs w:val="20"/>
        </w:rPr>
        <w:t>.</w:t>
      </w:r>
    </w:p>
    <w:p w14:paraId="1A342990" w14:textId="72CADD0C"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Facilitating the Trust’s accountability and its ability to demonstrate compliance with GDPR</w:t>
      </w:r>
      <w:r w:rsidR="00FC0CC7" w:rsidRPr="00F659C1">
        <w:rPr>
          <w:rFonts w:cstheme="minorHAnsi"/>
          <w:szCs w:val="20"/>
        </w:rPr>
        <w:t xml:space="preserve"> and UK Data Protection Act</w:t>
      </w:r>
      <w:r w:rsidRPr="00F659C1">
        <w:rPr>
          <w:rFonts w:cstheme="minorHAnsi"/>
          <w:szCs w:val="20"/>
        </w:rPr>
        <w:t xml:space="preserve">. </w:t>
      </w:r>
    </w:p>
    <w:p w14:paraId="5E2B2957" w14:textId="77777777"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Maintain specialist knowledge of the law and best practice relating to Information Governance and identify implications of legislative changes for the Trust. Interpret and incorporate national legislation and best practice into Trust policies and processes.  Provide advice to the Trust and its employees on compliance obligations.</w:t>
      </w:r>
    </w:p>
    <w:p w14:paraId="293199A5" w14:textId="77777777" w:rsidR="00F94CB4"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lastRenderedPageBreak/>
        <w:t xml:space="preserve">Lead on the ongoing evaluation of the effectiveness of the Trust’s Information Governance processes. </w:t>
      </w:r>
    </w:p>
    <w:p w14:paraId="38DDE482" w14:textId="653DCC56" w:rsidR="006955FA" w:rsidRPr="00F659C1" w:rsidRDefault="00F94CB4" w:rsidP="00F659C1">
      <w:pPr>
        <w:numPr>
          <w:ilvl w:val="0"/>
          <w:numId w:val="38"/>
        </w:numPr>
        <w:spacing w:before="120" w:after="0" w:line="240" w:lineRule="auto"/>
        <w:jc w:val="both"/>
        <w:rPr>
          <w:rFonts w:cstheme="minorHAnsi"/>
          <w:szCs w:val="20"/>
        </w:rPr>
      </w:pPr>
      <w:r w:rsidRPr="00F659C1">
        <w:rPr>
          <w:rFonts w:cstheme="minorHAnsi"/>
          <w:szCs w:val="20"/>
        </w:rPr>
        <w:t xml:space="preserve">Take lead responsibility for the Data Security &amp; Protection Toolkit submission and ensure the action plan for ongoing improvements and subsequent work programmes is taken forward by appropriate leads across the organisation. </w:t>
      </w:r>
      <w:r w:rsidR="006955FA" w:rsidRPr="00F659C1">
        <w:rPr>
          <w:rFonts w:cstheme="minorHAnsi"/>
          <w:szCs w:val="20"/>
        </w:rPr>
        <w:t>Co-ordinate responses and the Trusts</w:t>
      </w:r>
      <w:r w:rsidRPr="00F659C1">
        <w:rPr>
          <w:rFonts w:cstheme="minorHAnsi"/>
          <w:szCs w:val="20"/>
        </w:rPr>
        <w:t>’</w:t>
      </w:r>
      <w:r w:rsidR="006955FA" w:rsidRPr="00F659C1">
        <w:rPr>
          <w:rFonts w:cstheme="minorHAnsi"/>
          <w:szCs w:val="20"/>
        </w:rPr>
        <w:t xml:space="preserve"> action plan</w:t>
      </w:r>
      <w:r w:rsidR="003A639A" w:rsidRPr="00F659C1">
        <w:rPr>
          <w:rFonts w:cstheme="minorHAnsi"/>
          <w:szCs w:val="20"/>
        </w:rPr>
        <w:t>s</w:t>
      </w:r>
      <w:r w:rsidR="006955FA" w:rsidRPr="00F659C1">
        <w:rPr>
          <w:rFonts w:cstheme="minorHAnsi"/>
          <w:szCs w:val="20"/>
        </w:rPr>
        <w:t xml:space="preserve"> for the </w:t>
      </w:r>
      <w:r w:rsidRPr="00F659C1">
        <w:rPr>
          <w:rFonts w:cstheme="minorHAnsi"/>
          <w:szCs w:val="20"/>
        </w:rPr>
        <w:t>Data Security &amp; Protection</w:t>
      </w:r>
      <w:r w:rsidR="006955FA" w:rsidRPr="00F659C1">
        <w:rPr>
          <w:rFonts w:cstheme="minorHAnsi"/>
          <w:szCs w:val="20"/>
        </w:rPr>
        <w:t xml:space="preserve"> Toolkit. </w:t>
      </w:r>
    </w:p>
    <w:p w14:paraId="33940E9E" w14:textId="2850EDAF"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 xml:space="preserve">Develop and undertake audits to provide assurance that appropriate systems are in place to manage confidentiality and information security, and to satisfy applicable </w:t>
      </w:r>
      <w:r w:rsidR="00317DEE" w:rsidRPr="00F659C1">
        <w:rPr>
          <w:rFonts w:cstheme="minorHAnsi"/>
          <w:szCs w:val="20"/>
        </w:rPr>
        <w:t>legal and regulatory</w:t>
      </w:r>
      <w:r w:rsidRPr="00F659C1">
        <w:rPr>
          <w:rFonts w:cstheme="minorHAnsi"/>
          <w:szCs w:val="20"/>
        </w:rPr>
        <w:t xml:space="preserve"> requirements. Develop action plans to address issues identified through the audit process</w:t>
      </w:r>
      <w:r w:rsidR="00317DEE" w:rsidRPr="00F659C1">
        <w:rPr>
          <w:rFonts w:cstheme="minorHAnsi"/>
          <w:szCs w:val="20"/>
        </w:rPr>
        <w:t xml:space="preserve"> and l</w:t>
      </w:r>
      <w:r w:rsidRPr="00F659C1">
        <w:rPr>
          <w:rFonts w:cstheme="minorHAnsi"/>
          <w:szCs w:val="20"/>
        </w:rPr>
        <w:t xml:space="preserve">iaise with internal and external </w:t>
      </w:r>
      <w:r w:rsidR="00317DEE" w:rsidRPr="00F659C1">
        <w:rPr>
          <w:rFonts w:cstheme="minorHAnsi"/>
          <w:szCs w:val="20"/>
        </w:rPr>
        <w:t>stakeholders</w:t>
      </w:r>
      <w:r w:rsidRPr="00F659C1">
        <w:rPr>
          <w:rFonts w:cstheme="minorHAnsi"/>
          <w:szCs w:val="20"/>
        </w:rPr>
        <w:t xml:space="preserve"> in the communication of audits action plans / results. </w:t>
      </w:r>
    </w:p>
    <w:p w14:paraId="52019080" w14:textId="77777777"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Lead and develop the delivery of the Information Governance Strategy, implementing legislative changes and ongoing service adjustments.</w:t>
      </w:r>
    </w:p>
    <w:p w14:paraId="211154D2" w14:textId="2659E0EB"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 xml:space="preserve">Develop and implement a training programme for staff ensuring </w:t>
      </w:r>
      <w:r w:rsidR="006B4BB3" w:rsidRPr="00F659C1">
        <w:rPr>
          <w:rFonts w:cstheme="minorHAnsi"/>
          <w:szCs w:val="20"/>
        </w:rPr>
        <w:t xml:space="preserve">that </w:t>
      </w:r>
      <w:r w:rsidRPr="00F659C1">
        <w:rPr>
          <w:rFonts w:cstheme="minorHAnsi"/>
          <w:szCs w:val="20"/>
        </w:rPr>
        <w:t xml:space="preserve">it meets the </w:t>
      </w:r>
      <w:r w:rsidR="006B4BB3" w:rsidRPr="00F659C1">
        <w:rPr>
          <w:rFonts w:cstheme="minorHAnsi"/>
          <w:szCs w:val="20"/>
        </w:rPr>
        <w:t xml:space="preserve">legal and regulatory </w:t>
      </w:r>
      <w:r w:rsidRPr="00F659C1">
        <w:rPr>
          <w:rFonts w:cstheme="minorHAnsi"/>
          <w:szCs w:val="20"/>
        </w:rPr>
        <w:t>requirements.</w:t>
      </w:r>
    </w:p>
    <w:p w14:paraId="56EED40B" w14:textId="77777777" w:rsidR="00347F07"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 xml:space="preserve">Organising </w:t>
      </w:r>
      <w:r w:rsidR="00347F07" w:rsidRPr="00F659C1">
        <w:rPr>
          <w:rFonts w:cstheme="minorHAnsi"/>
          <w:szCs w:val="20"/>
        </w:rPr>
        <w:t xml:space="preserve">and prioritising </w:t>
      </w:r>
      <w:r w:rsidRPr="00F659C1">
        <w:rPr>
          <w:rFonts w:cstheme="minorHAnsi"/>
          <w:szCs w:val="20"/>
        </w:rPr>
        <w:t xml:space="preserve">own workload </w:t>
      </w:r>
      <w:r w:rsidR="00347F07" w:rsidRPr="00F659C1">
        <w:rPr>
          <w:rFonts w:cstheme="minorHAnsi"/>
          <w:szCs w:val="20"/>
        </w:rPr>
        <w:t>to ensure timely</w:t>
      </w:r>
      <w:r w:rsidRPr="00F659C1">
        <w:rPr>
          <w:rFonts w:cstheme="minorHAnsi"/>
          <w:szCs w:val="20"/>
        </w:rPr>
        <w:t xml:space="preserve"> </w:t>
      </w:r>
      <w:r w:rsidR="00347F07" w:rsidRPr="00F659C1">
        <w:rPr>
          <w:rFonts w:cstheme="minorHAnsi"/>
          <w:szCs w:val="20"/>
        </w:rPr>
        <w:t>responses to internal and external stakeholders, effective</w:t>
      </w:r>
      <w:r w:rsidRPr="00F659C1">
        <w:rPr>
          <w:rFonts w:cstheme="minorHAnsi"/>
          <w:szCs w:val="20"/>
        </w:rPr>
        <w:t xml:space="preserve"> incident management</w:t>
      </w:r>
      <w:r w:rsidR="00347F07" w:rsidRPr="00F659C1">
        <w:rPr>
          <w:rFonts w:cstheme="minorHAnsi"/>
          <w:szCs w:val="20"/>
        </w:rPr>
        <w:t xml:space="preserve"> and leadership of the information governance team e</w:t>
      </w:r>
      <w:r w:rsidRPr="00F659C1">
        <w:rPr>
          <w:rFonts w:cstheme="minorHAnsi"/>
          <w:szCs w:val="20"/>
        </w:rPr>
        <w:t xml:space="preserve">nsuring deadlines are met. </w:t>
      </w:r>
    </w:p>
    <w:p w14:paraId="30EFB95B" w14:textId="5B657724" w:rsidR="006955FA" w:rsidRPr="00F659C1" w:rsidRDefault="00347F07" w:rsidP="00F659C1">
      <w:pPr>
        <w:numPr>
          <w:ilvl w:val="0"/>
          <w:numId w:val="38"/>
        </w:numPr>
        <w:spacing w:before="120" w:after="0" w:line="240" w:lineRule="auto"/>
        <w:jc w:val="both"/>
        <w:rPr>
          <w:rFonts w:cstheme="minorHAnsi"/>
          <w:szCs w:val="20"/>
        </w:rPr>
      </w:pPr>
      <w:r w:rsidRPr="00F659C1">
        <w:rPr>
          <w:rFonts w:cstheme="minorHAnsi"/>
          <w:szCs w:val="20"/>
        </w:rPr>
        <w:t>Effective communication to ensure understanding of</w:t>
      </w:r>
      <w:r w:rsidR="006955FA" w:rsidRPr="00F659C1">
        <w:rPr>
          <w:rFonts w:cstheme="minorHAnsi"/>
          <w:szCs w:val="20"/>
        </w:rPr>
        <w:t xml:space="preserve"> complex </w:t>
      </w:r>
      <w:r w:rsidRPr="00F659C1">
        <w:rPr>
          <w:rFonts w:cstheme="minorHAnsi"/>
          <w:szCs w:val="20"/>
        </w:rPr>
        <w:t>information governance</w:t>
      </w:r>
      <w:r w:rsidR="006955FA" w:rsidRPr="00F659C1">
        <w:rPr>
          <w:rFonts w:cstheme="minorHAnsi"/>
          <w:szCs w:val="20"/>
        </w:rPr>
        <w:t xml:space="preserve"> matters </w:t>
      </w:r>
      <w:r w:rsidRPr="00F659C1">
        <w:rPr>
          <w:rFonts w:cstheme="minorHAnsi"/>
          <w:szCs w:val="20"/>
        </w:rPr>
        <w:t>by</w:t>
      </w:r>
      <w:r w:rsidR="006955FA" w:rsidRPr="00F659C1">
        <w:rPr>
          <w:rFonts w:cstheme="minorHAnsi"/>
          <w:szCs w:val="20"/>
        </w:rPr>
        <w:t xml:space="preserve"> patients</w:t>
      </w:r>
      <w:r w:rsidRPr="00F659C1">
        <w:rPr>
          <w:rFonts w:cstheme="minorHAnsi"/>
          <w:szCs w:val="20"/>
        </w:rPr>
        <w:t>, staff</w:t>
      </w:r>
      <w:r w:rsidR="006955FA" w:rsidRPr="00F659C1">
        <w:rPr>
          <w:rFonts w:cstheme="minorHAnsi"/>
          <w:szCs w:val="20"/>
        </w:rPr>
        <w:t xml:space="preserve"> and </w:t>
      </w:r>
      <w:r w:rsidRPr="00F659C1">
        <w:rPr>
          <w:rFonts w:cstheme="minorHAnsi"/>
          <w:szCs w:val="20"/>
        </w:rPr>
        <w:t>other</w:t>
      </w:r>
      <w:r w:rsidR="006955FA" w:rsidRPr="00F659C1">
        <w:rPr>
          <w:rFonts w:cstheme="minorHAnsi"/>
          <w:szCs w:val="20"/>
        </w:rPr>
        <w:t xml:space="preserve"> internal and external </w:t>
      </w:r>
      <w:r w:rsidRPr="00F659C1">
        <w:rPr>
          <w:rFonts w:cstheme="minorHAnsi"/>
          <w:szCs w:val="20"/>
        </w:rPr>
        <w:t>stakeholders.</w:t>
      </w:r>
    </w:p>
    <w:p w14:paraId="77A6B351" w14:textId="5CDB748A"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Liaise with representatives of external agencies such as – The Information Commissioner’s Office, the Department of Health, local counterparts, external specialists and users / suppliers of information systems or services.</w:t>
      </w:r>
    </w:p>
    <w:p w14:paraId="513A33C5" w14:textId="7B1445A2"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Contribute to regional and national Information Governance networks / groups as required.</w:t>
      </w:r>
    </w:p>
    <w:p w14:paraId="40E0E475" w14:textId="5F0C6250"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 xml:space="preserve">Communicate information to senior managers in relation to information governance requirements. Give formal presentations to key Trust groups on existing and emerging information governance issues and implementation requirements, influencing co-operation to achieve compliance. Liaison with external agencies as required within the remit of this role. </w:t>
      </w:r>
    </w:p>
    <w:p w14:paraId="7924843B" w14:textId="7D84B840" w:rsidR="00896883" w:rsidRPr="00F659C1" w:rsidRDefault="00896883" w:rsidP="00F659C1">
      <w:pPr>
        <w:numPr>
          <w:ilvl w:val="0"/>
          <w:numId w:val="38"/>
        </w:numPr>
        <w:spacing w:before="120" w:after="0" w:line="240" w:lineRule="auto"/>
        <w:jc w:val="both"/>
        <w:rPr>
          <w:rFonts w:cstheme="minorHAnsi"/>
          <w:szCs w:val="20"/>
        </w:rPr>
      </w:pPr>
      <w:r w:rsidRPr="00F659C1">
        <w:rPr>
          <w:rFonts w:cstheme="minorHAnsi"/>
          <w:szCs w:val="20"/>
        </w:rPr>
        <w:t>Ensure all sharing and/or processing of personal information has a lawful basis as defined by UK</w:t>
      </w:r>
      <w:r w:rsidR="00553831" w:rsidRPr="00F659C1">
        <w:rPr>
          <w:rFonts w:cstheme="minorHAnsi"/>
          <w:szCs w:val="20"/>
        </w:rPr>
        <w:t xml:space="preserve"> </w:t>
      </w:r>
      <w:r w:rsidRPr="00F659C1">
        <w:rPr>
          <w:rFonts w:cstheme="minorHAnsi"/>
          <w:szCs w:val="20"/>
        </w:rPr>
        <w:t xml:space="preserve">GDPR and </w:t>
      </w:r>
      <w:r w:rsidR="00553831" w:rsidRPr="00F659C1">
        <w:rPr>
          <w:rFonts w:cstheme="minorHAnsi"/>
          <w:szCs w:val="20"/>
        </w:rPr>
        <w:t>UK Data Protection Act</w:t>
      </w:r>
      <w:r w:rsidRPr="00F659C1">
        <w:rPr>
          <w:rFonts w:cstheme="minorHAnsi"/>
          <w:szCs w:val="20"/>
        </w:rPr>
        <w:t>.</w:t>
      </w:r>
    </w:p>
    <w:p w14:paraId="0EA938D2" w14:textId="0BECC054"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 xml:space="preserve">Exercise leadership and influence within the organisation in matters relating to Information Governance management, in particular, Data Protection Act, Freedom of Information Act, records management and confidentiality, providing detailed, specialist advice </w:t>
      </w:r>
      <w:r w:rsidR="00CE0721" w:rsidRPr="00F659C1">
        <w:rPr>
          <w:rFonts w:cstheme="minorHAnsi"/>
          <w:szCs w:val="20"/>
        </w:rPr>
        <w:t>as required</w:t>
      </w:r>
      <w:r w:rsidRPr="00F659C1">
        <w:rPr>
          <w:rFonts w:cstheme="minorHAnsi"/>
          <w:szCs w:val="20"/>
        </w:rPr>
        <w:t>.</w:t>
      </w:r>
    </w:p>
    <w:p w14:paraId="0CF57B60" w14:textId="0901A6BA"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Make judgements involving complex facts or situations, requiring analysis and interpretation e.g. interpretation of complex legislation relating to Information Governance, and the implications across the organisation</w:t>
      </w:r>
      <w:r w:rsidR="00040373" w:rsidRPr="00F659C1">
        <w:rPr>
          <w:rFonts w:cstheme="minorHAnsi"/>
          <w:szCs w:val="20"/>
        </w:rPr>
        <w:t>s</w:t>
      </w:r>
      <w:r w:rsidRPr="00F659C1">
        <w:rPr>
          <w:rFonts w:cstheme="minorHAnsi"/>
          <w:szCs w:val="20"/>
        </w:rPr>
        <w:t>.</w:t>
      </w:r>
    </w:p>
    <w:p w14:paraId="408AD65C" w14:textId="1F65DD4D"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Formulate and develop and monitor long-term Information Governance programmes and plans, which impact across the organisation</w:t>
      </w:r>
      <w:r w:rsidR="00040373" w:rsidRPr="00F659C1">
        <w:rPr>
          <w:rFonts w:cstheme="minorHAnsi"/>
          <w:szCs w:val="20"/>
        </w:rPr>
        <w:t>s</w:t>
      </w:r>
      <w:r w:rsidRPr="00F659C1">
        <w:rPr>
          <w:rFonts w:cstheme="minorHAnsi"/>
          <w:szCs w:val="20"/>
        </w:rPr>
        <w:t>. Create an operational Information Governance Framework and provide operational support across the organisation to ensure successful delivery.</w:t>
      </w:r>
    </w:p>
    <w:p w14:paraId="3F12D7B8" w14:textId="1B1F0DBA"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Responsible for proposing, implementing and developing Information Governance-related strategies, policies and procedures across the organisation.</w:t>
      </w:r>
    </w:p>
    <w:p w14:paraId="50EA8463" w14:textId="4E2B6CC3"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Provide specialist advice to the Director of Governance</w:t>
      </w:r>
      <w:r w:rsidR="006C7C4D" w:rsidRPr="00F659C1">
        <w:rPr>
          <w:rFonts w:cstheme="minorHAnsi"/>
          <w:szCs w:val="20"/>
        </w:rPr>
        <w:t xml:space="preserve"> and Risk</w:t>
      </w:r>
      <w:r w:rsidRPr="00F659C1">
        <w:rPr>
          <w:rFonts w:cstheme="minorHAnsi"/>
          <w:szCs w:val="20"/>
        </w:rPr>
        <w:t xml:space="preserve"> (</w:t>
      </w:r>
      <w:r w:rsidR="006C7C4D" w:rsidRPr="00F659C1">
        <w:rPr>
          <w:rFonts w:cstheme="minorHAnsi"/>
          <w:szCs w:val="20"/>
        </w:rPr>
        <w:t xml:space="preserve">and </w:t>
      </w:r>
      <w:r w:rsidRPr="00F659C1">
        <w:rPr>
          <w:rFonts w:cstheme="minorHAnsi"/>
          <w:szCs w:val="20"/>
        </w:rPr>
        <w:t>Senior Information Risk Officer), Caldicott Guardian, and board-delegated committees as necessary, to ensure the Trust</w:t>
      </w:r>
      <w:r w:rsidR="00040373" w:rsidRPr="00F659C1">
        <w:rPr>
          <w:rFonts w:cstheme="minorHAnsi"/>
          <w:szCs w:val="20"/>
        </w:rPr>
        <w:t>s</w:t>
      </w:r>
      <w:r w:rsidRPr="00F659C1">
        <w:rPr>
          <w:rFonts w:cstheme="minorHAnsi"/>
          <w:szCs w:val="20"/>
        </w:rPr>
        <w:t xml:space="preserve"> operate within the legal and ethical frameworks.</w:t>
      </w:r>
    </w:p>
    <w:p w14:paraId="369C1517" w14:textId="2281964B"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lastRenderedPageBreak/>
        <w:t>Review and investigate Information Governance adverse incidents and act as a panel member for Information Governance-related serious incidents.</w:t>
      </w:r>
    </w:p>
    <w:p w14:paraId="1E1F7956" w14:textId="41E20069"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 xml:space="preserve">To </w:t>
      </w:r>
      <w:r w:rsidR="005A0CCA" w:rsidRPr="00F659C1">
        <w:rPr>
          <w:rFonts w:cstheme="minorHAnsi"/>
          <w:szCs w:val="20"/>
        </w:rPr>
        <w:t xml:space="preserve">ensure that the Trusts have established processes for </w:t>
      </w:r>
      <w:r w:rsidR="00040373" w:rsidRPr="00F659C1">
        <w:rPr>
          <w:rFonts w:cstheme="minorHAnsi"/>
          <w:szCs w:val="20"/>
        </w:rPr>
        <w:t>information a</w:t>
      </w:r>
      <w:r w:rsidR="005A0CCA" w:rsidRPr="00F659C1">
        <w:rPr>
          <w:rFonts w:cstheme="minorHAnsi"/>
          <w:szCs w:val="20"/>
        </w:rPr>
        <w:t xml:space="preserve">sset management, </w:t>
      </w:r>
      <w:r w:rsidR="003D3A85" w:rsidRPr="00F659C1">
        <w:rPr>
          <w:rFonts w:cstheme="minorHAnsi"/>
          <w:szCs w:val="20"/>
        </w:rPr>
        <w:t>Data Protection Impact assessment</w:t>
      </w:r>
      <w:r w:rsidR="005A0CCA" w:rsidRPr="00F659C1">
        <w:rPr>
          <w:rFonts w:cstheme="minorHAnsi"/>
          <w:szCs w:val="20"/>
        </w:rPr>
        <w:t xml:space="preserve">s, </w:t>
      </w:r>
      <w:r w:rsidR="003D3A85" w:rsidRPr="00F659C1">
        <w:rPr>
          <w:rFonts w:cstheme="minorHAnsi"/>
          <w:szCs w:val="20"/>
        </w:rPr>
        <w:t>Subject Access Requests</w:t>
      </w:r>
      <w:r w:rsidR="005A0CCA" w:rsidRPr="00F659C1">
        <w:rPr>
          <w:rFonts w:cstheme="minorHAnsi"/>
          <w:szCs w:val="20"/>
        </w:rPr>
        <w:t xml:space="preserve"> and </w:t>
      </w:r>
      <w:r w:rsidR="003D3A85" w:rsidRPr="00F659C1">
        <w:rPr>
          <w:rFonts w:cstheme="minorHAnsi"/>
          <w:szCs w:val="20"/>
        </w:rPr>
        <w:t>freedom of Information request</w:t>
      </w:r>
      <w:r w:rsidR="005A0CCA" w:rsidRPr="00F659C1">
        <w:rPr>
          <w:rFonts w:cstheme="minorHAnsi"/>
          <w:szCs w:val="20"/>
        </w:rPr>
        <w:t>s.</w:t>
      </w:r>
    </w:p>
    <w:p w14:paraId="417BDC56" w14:textId="621BF585" w:rsidR="005A0CCA" w:rsidRPr="00F659C1" w:rsidRDefault="005A0CCA" w:rsidP="00F659C1">
      <w:pPr>
        <w:numPr>
          <w:ilvl w:val="0"/>
          <w:numId w:val="38"/>
        </w:numPr>
        <w:spacing w:before="120" w:after="0" w:line="240" w:lineRule="auto"/>
        <w:jc w:val="both"/>
        <w:rPr>
          <w:rFonts w:cstheme="minorHAnsi"/>
          <w:szCs w:val="20"/>
        </w:rPr>
      </w:pPr>
      <w:r w:rsidRPr="00F659C1">
        <w:rPr>
          <w:rFonts w:cstheme="minorHAnsi"/>
          <w:szCs w:val="20"/>
        </w:rPr>
        <w:t>To produce reports on behalf of the Director of Governance and Risk</w:t>
      </w:r>
      <w:r w:rsidR="003D3A85" w:rsidRPr="00F659C1">
        <w:rPr>
          <w:rFonts w:cstheme="minorHAnsi"/>
          <w:szCs w:val="20"/>
        </w:rPr>
        <w:t xml:space="preserve">, SIRO and Caldicott Guardian </w:t>
      </w:r>
      <w:r w:rsidRPr="00F659C1">
        <w:rPr>
          <w:rFonts w:cstheme="minorHAnsi"/>
          <w:szCs w:val="20"/>
        </w:rPr>
        <w:t>for submission to meetings, including Trust Leadership, committees and Board.</w:t>
      </w:r>
    </w:p>
    <w:p w14:paraId="387E9622" w14:textId="77777777" w:rsidR="006955FA" w:rsidRPr="00F659C1" w:rsidRDefault="006955FA" w:rsidP="00F659C1">
      <w:pPr>
        <w:numPr>
          <w:ilvl w:val="0"/>
          <w:numId w:val="38"/>
        </w:numPr>
        <w:spacing w:before="120" w:after="0" w:line="240" w:lineRule="auto"/>
        <w:jc w:val="both"/>
        <w:rPr>
          <w:rFonts w:cstheme="minorHAnsi"/>
          <w:szCs w:val="20"/>
        </w:rPr>
      </w:pPr>
      <w:r w:rsidRPr="00F659C1">
        <w:rPr>
          <w:rFonts w:cstheme="minorHAnsi"/>
          <w:szCs w:val="20"/>
        </w:rPr>
        <w:t>To monitor compliance with the GDPR and organisational policies, including staff awareness and provisions for training.</w:t>
      </w:r>
    </w:p>
    <w:p w14:paraId="16B0B4D3" w14:textId="2B7A9D27" w:rsidR="003A639A" w:rsidRPr="00F659C1" w:rsidRDefault="00C3196F" w:rsidP="00F659C1">
      <w:pPr>
        <w:numPr>
          <w:ilvl w:val="0"/>
          <w:numId w:val="38"/>
        </w:numPr>
        <w:spacing w:before="120" w:after="0" w:line="240" w:lineRule="auto"/>
        <w:jc w:val="both"/>
        <w:rPr>
          <w:rFonts w:cstheme="minorHAnsi"/>
          <w:szCs w:val="20"/>
        </w:rPr>
      </w:pPr>
      <w:r w:rsidRPr="00F659C1">
        <w:rPr>
          <w:rFonts w:cstheme="minorHAnsi"/>
          <w:szCs w:val="20"/>
        </w:rPr>
        <w:t>To p</w:t>
      </w:r>
      <w:r w:rsidR="003A639A" w:rsidRPr="00F659C1">
        <w:rPr>
          <w:rFonts w:cstheme="minorHAnsi"/>
          <w:szCs w:val="20"/>
        </w:rPr>
        <w:t xml:space="preserve">rovide leadership and management for the Information Governance function including line management of the Information Governance Team and having the right structures in place for management and support of all staff working within the function. </w:t>
      </w:r>
    </w:p>
    <w:p w14:paraId="7FB6C194" w14:textId="212D42CE" w:rsidR="00896883" w:rsidRPr="00F659C1" w:rsidRDefault="00896883" w:rsidP="00F659C1">
      <w:pPr>
        <w:numPr>
          <w:ilvl w:val="0"/>
          <w:numId w:val="38"/>
        </w:numPr>
        <w:spacing w:before="120" w:after="0" w:line="240" w:lineRule="auto"/>
        <w:jc w:val="both"/>
        <w:rPr>
          <w:rFonts w:cstheme="minorHAnsi"/>
          <w:szCs w:val="20"/>
        </w:rPr>
      </w:pPr>
      <w:r w:rsidRPr="00F659C1">
        <w:rPr>
          <w:rFonts w:cstheme="minorHAnsi"/>
          <w:szCs w:val="20"/>
        </w:rPr>
        <w:t>Maintain the Trust’s annual notification registration with the Information Commissioner, informing all relevant locations of the details of the registration and identifying the responsibilities within it.</w:t>
      </w:r>
    </w:p>
    <w:p w14:paraId="0EDABE99" w14:textId="6E825887" w:rsidR="00896883" w:rsidRPr="00F659C1" w:rsidRDefault="00896883" w:rsidP="00F659C1">
      <w:pPr>
        <w:numPr>
          <w:ilvl w:val="0"/>
          <w:numId w:val="38"/>
        </w:numPr>
        <w:spacing w:before="120" w:after="0" w:line="240" w:lineRule="auto"/>
        <w:jc w:val="both"/>
        <w:rPr>
          <w:rFonts w:cstheme="minorHAnsi"/>
          <w:szCs w:val="20"/>
        </w:rPr>
      </w:pPr>
      <w:r w:rsidRPr="00F659C1">
        <w:rPr>
          <w:rFonts w:cstheme="minorHAnsi"/>
          <w:szCs w:val="20"/>
        </w:rPr>
        <w:t>Ensure risks regarding information are captured and monitored.</w:t>
      </w:r>
    </w:p>
    <w:p w14:paraId="1D589692" w14:textId="77777777" w:rsidR="00200961" w:rsidRPr="00F659C1" w:rsidRDefault="00200961" w:rsidP="00F659C1">
      <w:pPr>
        <w:numPr>
          <w:ilvl w:val="0"/>
          <w:numId w:val="38"/>
        </w:numPr>
        <w:spacing w:before="120" w:after="0" w:line="240" w:lineRule="auto"/>
        <w:jc w:val="both"/>
        <w:rPr>
          <w:rFonts w:cstheme="minorHAnsi"/>
          <w:szCs w:val="20"/>
        </w:rPr>
      </w:pPr>
      <w:r w:rsidRPr="00F659C1">
        <w:rPr>
          <w:rFonts w:cstheme="minorHAnsi"/>
          <w:szCs w:val="20"/>
        </w:rPr>
        <w:t>This is not an exhaustive list of duties and responsibilities, and the post holder may be required to undertake other duties, which fall within the grade of the job, in discussion with the manager.</w:t>
      </w:r>
    </w:p>
    <w:p w14:paraId="79ABBC85" w14:textId="6A952BFD" w:rsidR="00200961" w:rsidRPr="00F659C1" w:rsidRDefault="00200961" w:rsidP="00F659C1">
      <w:pPr>
        <w:numPr>
          <w:ilvl w:val="0"/>
          <w:numId w:val="38"/>
        </w:numPr>
        <w:spacing w:before="120" w:after="0" w:line="240" w:lineRule="auto"/>
        <w:jc w:val="both"/>
        <w:rPr>
          <w:rFonts w:cstheme="minorHAnsi"/>
          <w:szCs w:val="20"/>
        </w:rPr>
      </w:pPr>
      <w:r w:rsidRPr="00F659C1">
        <w:rPr>
          <w:rFonts w:cstheme="minorHAnsi"/>
          <w:szCs w:val="20"/>
        </w:rPr>
        <w:t>This job description will be reviewed regularly in the light of changing service requirements and any such changes will be discussed with the post holder</w:t>
      </w:r>
    </w:p>
    <w:p w14:paraId="05457CFD" w14:textId="77777777" w:rsidR="006C7C4D" w:rsidRDefault="006C7C4D" w:rsidP="00603CA0">
      <w:pPr>
        <w:spacing w:after="0" w:line="240" w:lineRule="auto"/>
        <w:rPr>
          <w:rFonts w:cstheme="minorHAnsi"/>
          <w:b/>
          <w:bCs/>
        </w:rPr>
      </w:pPr>
    </w:p>
    <w:p w14:paraId="6C16C02F" w14:textId="77777777" w:rsidR="005A0CCA" w:rsidRDefault="005A0CCA" w:rsidP="00603CA0">
      <w:pPr>
        <w:spacing w:after="0" w:line="240" w:lineRule="auto"/>
        <w:rPr>
          <w:rFonts w:cstheme="minorHAnsi"/>
          <w:b/>
          <w:bCs/>
        </w:rPr>
      </w:pPr>
    </w:p>
    <w:p w14:paraId="189A1D5F" w14:textId="3FD7C6DB" w:rsidR="00EE2106" w:rsidRDefault="00603CA0" w:rsidP="000239E7">
      <w:pPr>
        <w:spacing w:before="120" w:after="0" w:line="240" w:lineRule="auto"/>
        <w:contextualSpacing/>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0239E7">
      <w:pPr>
        <w:spacing w:before="120" w:after="0" w:line="240" w:lineRule="auto"/>
        <w:contextualSpacing/>
        <w:rPr>
          <w:rFonts w:cstheme="minorHAnsi"/>
          <w:b/>
          <w:bCs/>
        </w:rPr>
      </w:pPr>
    </w:p>
    <w:p w14:paraId="5404F667" w14:textId="63E77845" w:rsidR="00921E4C" w:rsidRPr="00D13DB6" w:rsidRDefault="00F82AF9" w:rsidP="006F7294">
      <w:pPr>
        <w:spacing w:before="120" w:after="0" w:line="240" w:lineRule="auto"/>
        <w:contextualSpacing/>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1EF5BF25" w14:textId="49C855DC" w:rsidR="00BA0C06" w:rsidRDefault="00BA0C06" w:rsidP="006F7294">
      <w:pPr>
        <w:spacing w:before="120" w:after="0" w:line="240" w:lineRule="auto"/>
        <w:contextualSpacing/>
      </w:pPr>
      <w:r>
        <w:t>The post holder will be p</w:t>
      </w:r>
      <w:r w:rsidR="00EE2106">
        <w:t>roviding and receiving highly complex, highly sensitive or highly contentious information, where developed persuasive, motivational, negotiating, training, empathic or re-assurance skills are required. This may be because agreement or co-operation is required or because there are barriers to understanding</w:t>
      </w:r>
      <w:r>
        <w:t xml:space="preserve"> and/or </w:t>
      </w:r>
      <w:r w:rsidR="00EE2106">
        <w:t xml:space="preserve">presenting complex, </w:t>
      </w:r>
      <w:r>
        <w:t>sensitive,</w:t>
      </w:r>
      <w:r w:rsidR="00EE2106">
        <w:t xml:space="preserve"> or contentious information to a large group of sta</w:t>
      </w:r>
      <w:r>
        <w:t xml:space="preserve">ff. </w:t>
      </w:r>
    </w:p>
    <w:p w14:paraId="0AE311DB" w14:textId="77777777" w:rsidR="006F7294" w:rsidRPr="00BA0C06" w:rsidRDefault="006F7294" w:rsidP="006F7294">
      <w:pPr>
        <w:spacing w:before="120" w:after="0" w:line="240" w:lineRule="auto"/>
        <w:contextualSpacing/>
        <w:rPr>
          <w:rFonts w:cstheme="minorHAnsi"/>
          <w:b/>
          <w:bCs/>
        </w:rPr>
      </w:pPr>
    </w:p>
    <w:p w14:paraId="0B585AE9" w14:textId="3B224DA5" w:rsidR="00B701AA" w:rsidRPr="00106ACB" w:rsidRDefault="00B701AA" w:rsidP="006F7294">
      <w:pPr>
        <w:spacing w:before="120" w:after="0" w:line="240" w:lineRule="auto"/>
        <w:contextualSpacing/>
        <w:rPr>
          <w:rFonts w:cstheme="minorHAnsi"/>
          <w:b/>
          <w:bCs/>
          <w:i/>
          <w:iCs/>
        </w:rPr>
      </w:pPr>
      <w:r w:rsidRPr="00106ACB">
        <w:rPr>
          <w:rFonts w:cstheme="minorHAnsi"/>
          <w:b/>
          <w:bCs/>
          <w:i/>
          <w:iCs/>
        </w:rPr>
        <w:t>Analytical and Judgement</w:t>
      </w:r>
      <w:r w:rsidR="00BA0C06" w:rsidRPr="00106ACB">
        <w:rPr>
          <w:rFonts w:cstheme="minorHAnsi"/>
          <w:b/>
          <w:bCs/>
          <w:i/>
          <w:iCs/>
        </w:rPr>
        <w:t xml:space="preserve"> </w:t>
      </w:r>
    </w:p>
    <w:p w14:paraId="6D363C4A" w14:textId="2BB303F5" w:rsidR="00B701AA" w:rsidRDefault="00B701AA" w:rsidP="006F7294">
      <w:pPr>
        <w:spacing w:before="120" w:after="0" w:line="240" w:lineRule="auto"/>
        <w:contextualSpacing/>
      </w:pPr>
      <w:r>
        <w:t xml:space="preserve">Judgements involving highly complex facts or situations, which require the analysis, </w:t>
      </w:r>
      <w:r w:rsidR="00BA0C06">
        <w:t>interpretation,</w:t>
      </w:r>
      <w:r>
        <w:t xml:space="preserve"> and comparison of a range of options.</w:t>
      </w:r>
    </w:p>
    <w:p w14:paraId="30FB1022" w14:textId="77777777" w:rsidR="00B701AA" w:rsidRDefault="00B701AA" w:rsidP="006F7294">
      <w:pPr>
        <w:spacing w:before="120" w:after="0" w:line="240" w:lineRule="auto"/>
        <w:contextualSpacing/>
      </w:pPr>
    </w:p>
    <w:p w14:paraId="264608A0" w14:textId="3F7EC56C" w:rsidR="00B701AA" w:rsidRPr="003F41E2" w:rsidRDefault="00B701AA" w:rsidP="006F7294">
      <w:pPr>
        <w:spacing w:before="120" w:after="0" w:line="240" w:lineRule="auto"/>
        <w:contextualSpacing/>
        <w:rPr>
          <w:b/>
          <w:bCs/>
          <w:i/>
          <w:iCs/>
        </w:rPr>
      </w:pPr>
      <w:r w:rsidRPr="003F41E2">
        <w:rPr>
          <w:b/>
          <w:bCs/>
          <w:i/>
          <w:iCs/>
        </w:rPr>
        <w:t xml:space="preserve">Planning and organising </w:t>
      </w:r>
    </w:p>
    <w:p w14:paraId="49F1CD53" w14:textId="77777777" w:rsidR="00BA0C06" w:rsidRDefault="003F41E2" w:rsidP="006F7294">
      <w:pPr>
        <w:spacing w:before="120" w:after="0" w:line="240" w:lineRule="auto"/>
        <w:contextualSpacing/>
      </w:pPr>
      <w:r>
        <w:t>Planning and organisation of a broad range of complex activities or programmes, some of which are ongoing, which require the formulation and adjustment of plans or strategie</w:t>
      </w:r>
      <w:r w:rsidR="00BA0C06">
        <w:t xml:space="preserve">s. </w:t>
      </w:r>
    </w:p>
    <w:p w14:paraId="18F122D6" w14:textId="77777777" w:rsidR="003F41E2" w:rsidRDefault="003F41E2" w:rsidP="006F7294">
      <w:pPr>
        <w:spacing w:before="120" w:after="0" w:line="240" w:lineRule="auto"/>
        <w:contextualSpacing/>
        <w:rPr>
          <w:b/>
          <w:bCs/>
        </w:rPr>
      </w:pPr>
    </w:p>
    <w:p w14:paraId="02B8C4B7" w14:textId="40D07A50" w:rsidR="003F41E2" w:rsidRPr="00106ACB" w:rsidRDefault="003F41E2" w:rsidP="006F7294">
      <w:pPr>
        <w:spacing w:before="120" w:after="0" w:line="240" w:lineRule="auto"/>
        <w:contextualSpacing/>
        <w:rPr>
          <w:b/>
          <w:bCs/>
          <w:i/>
          <w:iCs/>
        </w:rPr>
      </w:pPr>
      <w:r w:rsidRPr="00106ACB">
        <w:rPr>
          <w:b/>
          <w:bCs/>
          <w:i/>
          <w:iCs/>
        </w:rPr>
        <w:t>Physical Skills</w:t>
      </w:r>
    </w:p>
    <w:p w14:paraId="190A0977" w14:textId="77777777" w:rsidR="00BA0C06" w:rsidRDefault="003F41E2" w:rsidP="006F7294">
      <w:pPr>
        <w:spacing w:before="120" w:after="0" w:line="240" w:lineRule="auto"/>
        <w:contextualSpacing/>
      </w:pPr>
      <w:r>
        <w:t>The post requires physical skills which are normally obtained through practice over a period of time or during practical training e.g. standard driving or keyboard skills, use of some tools and types of equipment.</w:t>
      </w:r>
    </w:p>
    <w:p w14:paraId="1971B41B" w14:textId="77777777" w:rsidR="003F41E2" w:rsidRDefault="003F41E2" w:rsidP="006F7294">
      <w:pPr>
        <w:spacing w:before="120" w:after="0" w:line="240" w:lineRule="auto"/>
        <w:contextualSpacing/>
        <w:jc w:val="both"/>
        <w:rPr>
          <w:rFonts w:eastAsia="Times New Roman" w:cstheme="minorHAnsi"/>
          <w:b/>
          <w:i/>
          <w:lang w:val="en-US" w:eastAsia="en-GB"/>
        </w:rPr>
      </w:pPr>
    </w:p>
    <w:p w14:paraId="24277F67" w14:textId="34FB79E7" w:rsidR="003F41E2" w:rsidRDefault="003F41E2" w:rsidP="006F7294">
      <w:pPr>
        <w:spacing w:before="120" w:after="0" w:line="240" w:lineRule="auto"/>
        <w:contextualSpacing/>
        <w:jc w:val="both"/>
        <w:rPr>
          <w:rFonts w:eastAsia="Times New Roman" w:cstheme="minorHAnsi"/>
          <w:b/>
          <w:i/>
          <w:lang w:val="en-US" w:eastAsia="en-GB"/>
        </w:rPr>
      </w:pPr>
      <w:r>
        <w:rPr>
          <w:rFonts w:eastAsia="Times New Roman" w:cstheme="minorHAnsi"/>
          <w:b/>
          <w:i/>
          <w:lang w:val="en-US" w:eastAsia="en-GB"/>
        </w:rPr>
        <w:t xml:space="preserve">Patient Client Care </w:t>
      </w:r>
    </w:p>
    <w:p w14:paraId="10D614C5" w14:textId="4611C7E0" w:rsidR="003F41E2" w:rsidRDefault="003F41E2" w:rsidP="006F7294">
      <w:pPr>
        <w:spacing w:before="120" w:after="0" w:line="240" w:lineRule="auto"/>
        <w:contextualSpacing/>
        <w:jc w:val="both"/>
      </w:pPr>
      <w:r>
        <w:t>Provides general non-clinical advice, information, guidance or ancillary services directly to patients, clients, relatives or carers.</w:t>
      </w:r>
    </w:p>
    <w:p w14:paraId="2FA6610F" w14:textId="77777777" w:rsidR="007A3336" w:rsidRDefault="007A3336" w:rsidP="006F7294">
      <w:pPr>
        <w:spacing w:before="120" w:after="0" w:line="240" w:lineRule="auto"/>
        <w:contextualSpacing/>
        <w:rPr>
          <w:rFonts w:cstheme="minorHAnsi"/>
          <w:b/>
          <w:bCs/>
          <w:i/>
          <w:iCs/>
        </w:rPr>
      </w:pPr>
    </w:p>
    <w:p w14:paraId="37B4E9B2" w14:textId="77777777" w:rsidR="00F13768" w:rsidRDefault="00F13768" w:rsidP="006F7294">
      <w:pPr>
        <w:spacing w:before="120" w:after="0" w:line="240" w:lineRule="auto"/>
        <w:contextualSpacing/>
        <w:rPr>
          <w:rFonts w:cstheme="minorHAnsi"/>
          <w:b/>
          <w:bCs/>
          <w:i/>
          <w:iCs/>
        </w:rPr>
      </w:pPr>
    </w:p>
    <w:p w14:paraId="78985ABE" w14:textId="77777777" w:rsidR="00F13768" w:rsidRDefault="00F13768" w:rsidP="006F7294">
      <w:pPr>
        <w:spacing w:before="120" w:after="0" w:line="240" w:lineRule="auto"/>
        <w:contextualSpacing/>
        <w:rPr>
          <w:rFonts w:cstheme="minorHAnsi"/>
          <w:b/>
          <w:bCs/>
          <w:i/>
          <w:iCs/>
        </w:rPr>
      </w:pPr>
    </w:p>
    <w:p w14:paraId="64D66549" w14:textId="32761F37" w:rsidR="003F41E2" w:rsidRDefault="003F41E2" w:rsidP="006F7294">
      <w:pPr>
        <w:spacing w:before="120" w:after="0" w:line="240" w:lineRule="auto"/>
        <w:contextualSpacing/>
        <w:rPr>
          <w:rFonts w:cstheme="minorHAnsi"/>
          <w:b/>
          <w:bCs/>
          <w:i/>
          <w:iCs/>
        </w:rPr>
      </w:pPr>
      <w:r w:rsidRPr="00BA7F00">
        <w:rPr>
          <w:rFonts w:cstheme="minorHAnsi"/>
          <w:b/>
          <w:bCs/>
          <w:i/>
          <w:iCs/>
        </w:rPr>
        <w:lastRenderedPageBreak/>
        <w:t xml:space="preserve">Policy and Service Development </w:t>
      </w:r>
    </w:p>
    <w:p w14:paraId="4BA06A2A" w14:textId="77DF7F12" w:rsidR="003F41E2" w:rsidRPr="007A3336" w:rsidRDefault="003F41E2" w:rsidP="006F7294">
      <w:pPr>
        <w:spacing w:before="120" w:after="0" w:line="240" w:lineRule="auto"/>
        <w:contextualSpacing/>
        <w:rPr>
          <w:rFonts w:cstheme="minorHAnsi"/>
        </w:rPr>
      </w:pPr>
      <w:r>
        <w:t xml:space="preserve">The post holder is </w:t>
      </w:r>
      <w:r w:rsidR="009D2129">
        <w:t>responsible</w:t>
      </w:r>
      <w:r>
        <w:t xml:space="preserve"> for major policy implementation and policy or service development, which impacts across or beyond the organisation.</w:t>
      </w:r>
    </w:p>
    <w:p w14:paraId="64159B1B" w14:textId="77777777" w:rsidR="003F41E2" w:rsidRDefault="003F41E2" w:rsidP="006F7294">
      <w:pPr>
        <w:spacing w:before="120" w:after="0" w:line="240" w:lineRule="auto"/>
        <w:contextualSpacing/>
        <w:rPr>
          <w:rFonts w:cstheme="minorHAnsi"/>
        </w:rPr>
      </w:pPr>
    </w:p>
    <w:p w14:paraId="6A9899F6" w14:textId="28A798C4" w:rsidR="00137866" w:rsidRDefault="00921E4C" w:rsidP="006F7294">
      <w:pPr>
        <w:spacing w:before="120" w:after="0" w:line="240" w:lineRule="auto"/>
        <w:contextualSpacing/>
        <w:rPr>
          <w:rFonts w:cstheme="minorHAnsi"/>
          <w:b/>
          <w:bCs/>
          <w:i/>
          <w:iCs/>
        </w:rPr>
      </w:pPr>
      <w:r w:rsidRPr="00D13DB6">
        <w:rPr>
          <w:rFonts w:cstheme="minorHAnsi"/>
          <w:b/>
          <w:bCs/>
          <w:i/>
          <w:iCs/>
        </w:rPr>
        <w:t xml:space="preserve">Financial Management </w:t>
      </w:r>
    </w:p>
    <w:p w14:paraId="599C1D46" w14:textId="552E9E45" w:rsidR="00D13DB6" w:rsidRPr="007A3336" w:rsidRDefault="00D13DB6" w:rsidP="006F7294">
      <w:pPr>
        <w:spacing w:before="120" w:after="0" w:line="240" w:lineRule="auto"/>
        <w:contextualSpacing/>
        <w:rPr>
          <w:rFonts w:cstheme="minorHAnsi"/>
        </w:rPr>
      </w:pPr>
      <w:r w:rsidRPr="007A3336">
        <w:rPr>
          <w:rFonts w:cstheme="minorHAnsi"/>
        </w:rPr>
        <w:t>The post holder will monitor and/or contributes to the drawing up of department/service budgets or financial initiatives.</w:t>
      </w:r>
    </w:p>
    <w:p w14:paraId="3DE5A123" w14:textId="77777777" w:rsidR="00137866" w:rsidRDefault="00137866" w:rsidP="006F7294">
      <w:pPr>
        <w:spacing w:before="120" w:after="0" w:line="240" w:lineRule="auto"/>
        <w:contextualSpacing/>
        <w:rPr>
          <w:rFonts w:cstheme="minorHAnsi"/>
        </w:rPr>
      </w:pPr>
    </w:p>
    <w:p w14:paraId="584B2D45" w14:textId="77777777" w:rsidR="003F41E2" w:rsidRDefault="003F41E2" w:rsidP="006F7294">
      <w:pPr>
        <w:spacing w:before="120" w:after="0" w:line="240" w:lineRule="auto"/>
        <w:contextualSpacing/>
        <w:jc w:val="both"/>
        <w:rPr>
          <w:rFonts w:eastAsia="Times New Roman" w:cstheme="minorHAnsi"/>
          <w:b/>
          <w:i/>
          <w:lang w:val="en-US" w:eastAsia="en-GB"/>
        </w:rPr>
      </w:pPr>
      <w:r w:rsidRPr="00D13DB6">
        <w:rPr>
          <w:rFonts w:eastAsia="Times New Roman" w:cstheme="minorHAnsi"/>
          <w:b/>
          <w:i/>
          <w:lang w:val="en-US" w:eastAsia="en-GB"/>
        </w:rPr>
        <w:t>Management/Leadership</w:t>
      </w:r>
    </w:p>
    <w:p w14:paraId="277F2DA5" w14:textId="5B1B869C" w:rsidR="003F41E2" w:rsidRPr="007A3336" w:rsidRDefault="003F41E2" w:rsidP="006F7294">
      <w:pPr>
        <w:spacing w:before="120" w:after="0" w:line="240" w:lineRule="auto"/>
        <w:contextualSpacing/>
        <w:rPr>
          <w:rFonts w:cstheme="minorHAnsi"/>
          <w:b/>
          <w:bCs/>
        </w:rPr>
      </w:pPr>
      <w:bookmarkStart w:id="2" w:name="_Hlk178250552"/>
      <w:r>
        <w:t xml:space="preserve">The post holder is the line manager for </w:t>
      </w:r>
      <w:r w:rsidR="00F13768">
        <w:t>the Information Governance Team</w:t>
      </w:r>
      <w:r>
        <w:t xml:space="preserve">, responsible for appraisals, managing sickness absence, dealing with disciplinary and grievance issues, leading on recruitment and selection, staff development and succession planning and managing all aspects of people management. </w:t>
      </w:r>
    </w:p>
    <w:bookmarkEnd w:id="2"/>
    <w:p w14:paraId="3C5D4273" w14:textId="77777777" w:rsidR="000239E7" w:rsidRDefault="000239E7" w:rsidP="006F7294">
      <w:pPr>
        <w:spacing w:before="120" w:after="0" w:line="240" w:lineRule="auto"/>
        <w:contextualSpacing/>
        <w:rPr>
          <w:rFonts w:cstheme="minorHAnsi"/>
          <w:b/>
          <w:bCs/>
          <w:i/>
          <w:iCs/>
        </w:rPr>
      </w:pPr>
    </w:p>
    <w:p w14:paraId="5A3E4982" w14:textId="0101C7DE" w:rsidR="00603CA0" w:rsidRDefault="00603CA0" w:rsidP="006F7294">
      <w:pPr>
        <w:spacing w:before="120" w:after="0" w:line="240" w:lineRule="auto"/>
        <w:contextualSpacing/>
        <w:rPr>
          <w:rFonts w:cstheme="minorHAnsi"/>
          <w:b/>
          <w:bCs/>
          <w:i/>
          <w:iCs/>
        </w:rPr>
      </w:pPr>
      <w:r w:rsidRPr="00603CA0">
        <w:rPr>
          <w:rFonts w:cstheme="minorHAnsi"/>
          <w:b/>
          <w:bCs/>
          <w:i/>
          <w:iCs/>
        </w:rPr>
        <w:t xml:space="preserve">Information Resources </w:t>
      </w:r>
    </w:p>
    <w:p w14:paraId="6AD3507F" w14:textId="5D5F2354" w:rsidR="003F41E2" w:rsidRDefault="00942AD2" w:rsidP="006F7294">
      <w:pPr>
        <w:spacing w:before="120" w:after="0" w:line="240" w:lineRule="auto"/>
        <w:contextualSpacing/>
      </w:pPr>
      <w:r>
        <w:t xml:space="preserve">The post holder has </w:t>
      </w:r>
      <w:r w:rsidR="00603CA0">
        <w:t xml:space="preserve">occasional requirement to use computer software to develop or create statistical reports requiring formulae, query reports or detailed drawings /diagrams using desktop publishing (DTP) or computer aided design (CAD). </w:t>
      </w:r>
    </w:p>
    <w:p w14:paraId="0D9B2B7C" w14:textId="049BFEF5" w:rsidR="4AFB604B" w:rsidRDefault="4AFB604B" w:rsidP="006F7294">
      <w:pPr>
        <w:spacing w:before="120" w:after="0" w:line="240" w:lineRule="auto"/>
        <w:contextualSpacing/>
      </w:pPr>
    </w:p>
    <w:p w14:paraId="47EA0A81" w14:textId="78A1C6A9" w:rsidR="003F41E2" w:rsidRPr="003F41E2" w:rsidRDefault="003F41E2" w:rsidP="006F7294">
      <w:pPr>
        <w:spacing w:before="120" w:after="0" w:line="240" w:lineRule="auto"/>
        <w:contextualSpacing/>
        <w:rPr>
          <w:b/>
          <w:bCs/>
          <w:i/>
          <w:iCs/>
        </w:rPr>
      </w:pPr>
      <w:r w:rsidRPr="003F41E2">
        <w:rPr>
          <w:b/>
          <w:bCs/>
          <w:i/>
          <w:iCs/>
        </w:rPr>
        <w:t xml:space="preserve">Research and development </w:t>
      </w:r>
    </w:p>
    <w:p w14:paraId="033A4ADF" w14:textId="77777777" w:rsidR="00A10D44" w:rsidRPr="005E6CD7" w:rsidRDefault="003F41E2" w:rsidP="006F7294">
      <w:pPr>
        <w:spacing w:before="120" w:after="0" w:line="240" w:lineRule="auto"/>
        <w:contextualSpacing/>
      </w:pPr>
      <w:r>
        <w:t xml:space="preserve">Undertakes surveys or audits, as necessary to own work; may occasionally participate in R&amp;D, clinical trials or equipment testing. </w:t>
      </w:r>
    </w:p>
    <w:p w14:paraId="520ACF33" w14:textId="77777777" w:rsidR="005E6CD7" w:rsidRDefault="005E6CD7" w:rsidP="006F7294">
      <w:pPr>
        <w:spacing w:before="120" w:after="0" w:line="240" w:lineRule="auto"/>
        <w:contextualSpacing/>
        <w:rPr>
          <w:rFonts w:cstheme="minorHAnsi"/>
          <w:b/>
          <w:bCs/>
          <w:i/>
          <w:iCs/>
        </w:rPr>
      </w:pPr>
    </w:p>
    <w:p w14:paraId="0566E0DB" w14:textId="64314AAE" w:rsidR="003F41E2" w:rsidRPr="003F41E2" w:rsidRDefault="003F41E2" w:rsidP="006F7294">
      <w:pPr>
        <w:spacing w:before="120" w:after="0" w:line="240" w:lineRule="auto"/>
        <w:contextualSpacing/>
        <w:rPr>
          <w:rFonts w:cstheme="minorHAnsi"/>
          <w:b/>
          <w:bCs/>
          <w:i/>
          <w:iCs/>
        </w:rPr>
      </w:pPr>
      <w:r w:rsidRPr="003F41E2">
        <w:rPr>
          <w:rFonts w:cstheme="minorHAnsi"/>
          <w:b/>
          <w:bCs/>
          <w:i/>
          <w:iCs/>
        </w:rPr>
        <w:t xml:space="preserve">Freedom to Act </w:t>
      </w:r>
    </w:p>
    <w:p w14:paraId="27D03066" w14:textId="30E5957D" w:rsidR="00A10D44" w:rsidRDefault="00A10D44" w:rsidP="006F7294">
      <w:pPr>
        <w:spacing w:before="120" w:after="0" w:line="240" w:lineRule="auto"/>
        <w:contextualSpacing/>
      </w:pPr>
      <w:r>
        <w:t>The post holder i</w:t>
      </w:r>
      <w:r w:rsidR="003F41E2">
        <w:t xml:space="preserve">s guided by general health, organisational or broad occupational policies, but in most situations the post holder will need to establish the way in which these should be interpreted. </w:t>
      </w:r>
    </w:p>
    <w:p w14:paraId="549000D5" w14:textId="77777777" w:rsidR="003F41E2" w:rsidRDefault="003F41E2" w:rsidP="006F7294">
      <w:pPr>
        <w:spacing w:before="120" w:after="0" w:line="240" w:lineRule="auto"/>
        <w:contextualSpacing/>
      </w:pPr>
    </w:p>
    <w:p w14:paraId="53E62FAE" w14:textId="1801DD99" w:rsidR="003F41E2" w:rsidRPr="00A10D44" w:rsidRDefault="003F41E2" w:rsidP="006F7294">
      <w:pPr>
        <w:spacing w:before="120" w:after="0" w:line="240" w:lineRule="auto"/>
        <w:contextualSpacing/>
        <w:rPr>
          <w:b/>
          <w:bCs/>
          <w:i/>
          <w:iCs/>
        </w:rPr>
      </w:pPr>
      <w:r w:rsidRPr="00A10D44">
        <w:rPr>
          <w:b/>
          <w:bCs/>
          <w:i/>
          <w:iCs/>
        </w:rPr>
        <w:t xml:space="preserve">Physical effort </w:t>
      </w:r>
    </w:p>
    <w:p w14:paraId="58E64BA6" w14:textId="32096A0E" w:rsidR="005D0FA7" w:rsidRPr="006C7C4D" w:rsidRDefault="005D0FA7" w:rsidP="006F7294">
      <w:pPr>
        <w:spacing w:before="120" w:after="0" w:line="240" w:lineRule="auto"/>
        <w:contextualSpacing/>
        <w:rPr>
          <w:rFonts w:cstheme="minorHAnsi"/>
          <w:shd w:val="clear" w:color="auto" w:fill="FFFFFF"/>
        </w:rPr>
      </w:pPr>
      <w:r w:rsidRPr="006C7C4D">
        <w:rPr>
          <w:rFonts w:cstheme="minorHAnsi"/>
          <w:shd w:val="clear" w:color="auto" w:fill="FFFFFF"/>
        </w:rPr>
        <w:t>A combination of sitting, standing, and walking with little requirement for physical effort. There may be a requirement to exert light physical effort for short periods.</w:t>
      </w:r>
    </w:p>
    <w:p w14:paraId="6A033372" w14:textId="77777777" w:rsidR="000239E7" w:rsidRDefault="000239E7" w:rsidP="006F7294">
      <w:pPr>
        <w:spacing w:before="120" w:after="0" w:line="240" w:lineRule="auto"/>
        <w:contextualSpacing/>
        <w:rPr>
          <w:b/>
          <w:bCs/>
          <w:i/>
          <w:iCs/>
        </w:rPr>
      </w:pPr>
    </w:p>
    <w:p w14:paraId="77E86FA5" w14:textId="60CB1576" w:rsidR="006C7C4D" w:rsidRDefault="003F41E2" w:rsidP="006F7294">
      <w:pPr>
        <w:spacing w:before="120" w:after="0" w:line="240" w:lineRule="auto"/>
        <w:contextualSpacing/>
        <w:rPr>
          <w:b/>
          <w:bCs/>
          <w:i/>
          <w:iCs/>
        </w:rPr>
      </w:pPr>
      <w:r w:rsidRPr="006C7C4D">
        <w:rPr>
          <w:b/>
          <w:bCs/>
          <w:i/>
          <w:iCs/>
        </w:rPr>
        <w:t xml:space="preserve">Mental effort </w:t>
      </w:r>
    </w:p>
    <w:p w14:paraId="18815315" w14:textId="3D301027" w:rsidR="003F41E2" w:rsidRPr="005E6CD7" w:rsidRDefault="003F41E2" w:rsidP="006F7294">
      <w:pPr>
        <w:spacing w:before="120" w:after="0" w:line="240" w:lineRule="auto"/>
        <w:contextualSpacing/>
      </w:pPr>
      <w:r>
        <w:t>There is a frequent requirement for intense concentration.</w:t>
      </w:r>
    </w:p>
    <w:p w14:paraId="7150CF14" w14:textId="77777777" w:rsidR="003F41E2" w:rsidRDefault="003F41E2" w:rsidP="006F7294">
      <w:pPr>
        <w:spacing w:before="120" w:after="0" w:line="240" w:lineRule="auto"/>
        <w:contextualSpacing/>
      </w:pPr>
    </w:p>
    <w:p w14:paraId="6EBABCC7" w14:textId="46DB3144" w:rsidR="003F41E2" w:rsidRPr="007E66A1" w:rsidRDefault="003F41E2" w:rsidP="006F7294">
      <w:pPr>
        <w:spacing w:before="120" w:after="0" w:line="240" w:lineRule="auto"/>
        <w:contextualSpacing/>
        <w:rPr>
          <w:b/>
          <w:bCs/>
          <w:i/>
          <w:iCs/>
        </w:rPr>
      </w:pPr>
      <w:r w:rsidRPr="007E66A1">
        <w:rPr>
          <w:b/>
          <w:bCs/>
          <w:i/>
          <w:iCs/>
        </w:rPr>
        <w:t>Emotional Effort</w:t>
      </w:r>
    </w:p>
    <w:p w14:paraId="6859B624" w14:textId="77777777" w:rsidR="007E66A1" w:rsidRDefault="003F41E2" w:rsidP="006F7294">
      <w:pPr>
        <w:spacing w:before="120" w:after="0" w:line="240" w:lineRule="auto"/>
        <w:contextualSpacing/>
      </w:pPr>
      <w:r>
        <w:t xml:space="preserve">Exposure to distressing or emotional circumstances is rare, or occasional indirect exposure to distressing or emotional circumstances. </w:t>
      </w:r>
    </w:p>
    <w:p w14:paraId="1ADA4231" w14:textId="77777777" w:rsidR="003F41E2" w:rsidRDefault="003F41E2" w:rsidP="006F7294">
      <w:pPr>
        <w:spacing w:before="120" w:after="0" w:line="240" w:lineRule="auto"/>
        <w:contextualSpacing/>
      </w:pPr>
    </w:p>
    <w:p w14:paraId="0539E6EC" w14:textId="636AD3D8" w:rsidR="003F41E2" w:rsidRPr="007E66A1" w:rsidRDefault="003F41E2" w:rsidP="006F7294">
      <w:pPr>
        <w:spacing w:before="120" w:after="0" w:line="240" w:lineRule="auto"/>
        <w:contextualSpacing/>
        <w:rPr>
          <w:b/>
          <w:bCs/>
          <w:i/>
          <w:iCs/>
        </w:rPr>
      </w:pPr>
      <w:r w:rsidRPr="007E66A1">
        <w:rPr>
          <w:b/>
          <w:bCs/>
          <w:i/>
          <w:iCs/>
        </w:rPr>
        <w:t>Working conditions</w:t>
      </w:r>
    </w:p>
    <w:p w14:paraId="33C5EFD7" w14:textId="71E4F416" w:rsidR="007E66A1" w:rsidRDefault="003F41E2" w:rsidP="006F7294">
      <w:pPr>
        <w:spacing w:before="120" w:after="0" w:line="240" w:lineRule="auto"/>
        <w:contextualSpacing/>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 </w:t>
      </w:r>
    </w:p>
    <w:p w14:paraId="65611ACE" w14:textId="3D86BF37" w:rsidR="4AFB604B" w:rsidRDefault="4AFB604B" w:rsidP="006F7294">
      <w:pPr>
        <w:spacing w:before="120" w:after="0" w:line="240" w:lineRule="auto"/>
        <w:contextualSpacing/>
      </w:pPr>
    </w:p>
    <w:p w14:paraId="334E0EF3" w14:textId="77777777" w:rsidR="006C7C4D" w:rsidRDefault="006C7C4D" w:rsidP="00B47E3D">
      <w:pPr>
        <w:spacing w:after="0" w:line="240" w:lineRule="auto"/>
      </w:pPr>
    </w:p>
    <w:p w14:paraId="13219DEE" w14:textId="77777777" w:rsidR="005E6CD7" w:rsidRDefault="005E6CD7">
      <w:pPr>
        <w:rPr>
          <w:b/>
          <w:bCs/>
        </w:rPr>
      </w:pPr>
      <w:r>
        <w:rPr>
          <w:b/>
          <w:bCs/>
        </w:rPr>
        <w:br w:type="page"/>
      </w:r>
    </w:p>
    <w:p w14:paraId="40E5F11B" w14:textId="0EB00E4F" w:rsidR="000E7EF7" w:rsidRDefault="000E7EF7" w:rsidP="00B47E3D">
      <w:pPr>
        <w:spacing w:after="0" w:line="240" w:lineRule="auto"/>
        <w:rPr>
          <w:b/>
          <w:bCs/>
        </w:rPr>
      </w:pPr>
      <w:r>
        <w:rPr>
          <w:b/>
          <w:bCs/>
        </w:rPr>
        <w:lastRenderedPageBreak/>
        <w:t xml:space="preserve">Person Specification </w:t>
      </w:r>
    </w:p>
    <w:p w14:paraId="76BE5395"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005E6CD7">
        <w:trPr>
          <w:tblHeader/>
        </w:trPr>
        <w:tc>
          <w:tcPr>
            <w:tcW w:w="1650" w:type="dxa"/>
            <w:shd w:val="clear" w:color="auto" w:fill="F2F2F2" w:themeFill="background1" w:themeFillShade="F2"/>
            <w:vAlign w:val="center"/>
          </w:tcPr>
          <w:p w14:paraId="3D6D33DF" w14:textId="65262D50" w:rsidR="000E7EF7" w:rsidRDefault="000E7EF7" w:rsidP="000E7EF7">
            <w:pPr>
              <w:jc w:val="center"/>
              <w:rPr>
                <w:b/>
                <w:bCs/>
              </w:rPr>
            </w:pPr>
            <w:r>
              <w:rPr>
                <w:b/>
                <w:bCs/>
              </w:rPr>
              <w:t>Criteria</w:t>
            </w:r>
          </w:p>
        </w:tc>
        <w:tc>
          <w:tcPr>
            <w:tcW w:w="2881" w:type="dxa"/>
            <w:shd w:val="clear" w:color="auto" w:fill="F2F2F2" w:themeFill="background1" w:themeFillShade="F2"/>
            <w:vAlign w:val="center"/>
          </w:tcPr>
          <w:p w14:paraId="216BC556" w14:textId="04A5360D" w:rsidR="000E7EF7" w:rsidRDefault="000E7EF7" w:rsidP="000E7EF7">
            <w:pPr>
              <w:jc w:val="center"/>
              <w:rPr>
                <w:b/>
                <w:bCs/>
              </w:rPr>
            </w:pPr>
            <w:r>
              <w:rPr>
                <w:b/>
                <w:bCs/>
              </w:rPr>
              <w:t>Essential</w:t>
            </w:r>
          </w:p>
        </w:tc>
        <w:tc>
          <w:tcPr>
            <w:tcW w:w="2835" w:type="dxa"/>
            <w:shd w:val="clear" w:color="auto" w:fill="F2F2F2" w:themeFill="background1" w:themeFillShade="F2"/>
            <w:vAlign w:val="center"/>
          </w:tcPr>
          <w:p w14:paraId="3E7E271E" w14:textId="511737FC" w:rsidR="000E7EF7" w:rsidRDefault="000E7EF7" w:rsidP="000E7EF7">
            <w:pPr>
              <w:jc w:val="center"/>
              <w:rPr>
                <w:b/>
                <w:bCs/>
              </w:rPr>
            </w:pPr>
            <w:r>
              <w:rPr>
                <w:b/>
                <w:bCs/>
              </w:rPr>
              <w:t>Desirable</w:t>
            </w:r>
          </w:p>
        </w:tc>
        <w:tc>
          <w:tcPr>
            <w:tcW w:w="1650" w:type="dxa"/>
            <w:shd w:val="clear" w:color="auto" w:fill="F2F2F2" w:themeFill="background1" w:themeFillShade="F2"/>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0239E7">
            <w:pPr>
              <w:spacing w:before="120"/>
              <w:rPr>
                <w:b/>
                <w:bCs/>
              </w:rPr>
            </w:pPr>
            <w:r>
              <w:rPr>
                <w:b/>
                <w:bCs/>
              </w:rPr>
              <w:t>Qualifications</w:t>
            </w:r>
          </w:p>
          <w:p w14:paraId="689FBA8B" w14:textId="77777777" w:rsidR="000E7EF7" w:rsidRDefault="000E7EF7" w:rsidP="000239E7">
            <w:pPr>
              <w:spacing w:before="120"/>
              <w:rPr>
                <w:b/>
                <w:bCs/>
              </w:rPr>
            </w:pPr>
          </w:p>
          <w:p w14:paraId="522943C5" w14:textId="77777777" w:rsidR="000E7EF7" w:rsidRDefault="000E7EF7" w:rsidP="000239E7">
            <w:pPr>
              <w:spacing w:before="120"/>
              <w:rPr>
                <w:b/>
                <w:bCs/>
              </w:rPr>
            </w:pPr>
          </w:p>
          <w:p w14:paraId="5FF14092" w14:textId="52C45CCF" w:rsidR="000E7EF7" w:rsidRDefault="000E7EF7" w:rsidP="000239E7">
            <w:pPr>
              <w:spacing w:before="120"/>
              <w:rPr>
                <w:b/>
                <w:bCs/>
              </w:rPr>
            </w:pPr>
            <w:r>
              <w:rPr>
                <w:b/>
                <w:bCs/>
              </w:rPr>
              <w:t xml:space="preserve"> </w:t>
            </w:r>
          </w:p>
        </w:tc>
        <w:tc>
          <w:tcPr>
            <w:tcW w:w="2881" w:type="dxa"/>
          </w:tcPr>
          <w:p w14:paraId="5C436700" w14:textId="6B33229B" w:rsidR="0082226C" w:rsidRP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Minimum of first degree</w:t>
            </w:r>
          </w:p>
          <w:p w14:paraId="454708F7" w14:textId="343B41B0" w:rsidR="000E7EF7" w:rsidRPr="005E6CD7"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Qualification in Data Protection Legislation or equivalent</w:t>
            </w:r>
          </w:p>
        </w:tc>
        <w:tc>
          <w:tcPr>
            <w:tcW w:w="2835" w:type="dxa"/>
          </w:tcPr>
          <w:p w14:paraId="2377D891" w14:textId="23C37531" w:rsidR="000E7EF7"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Management qualification</w:t>
            </w:r>
          </w:p>
          <w:p w14:paraId="1C73AD66" w14:textId="62CAC2B6" w:rsidR="006C7C4D" w:rsidRDefault="006C7C4D" w:rsidP="000239E7">
            <w:pPr>
              <w:spacing w:before="120"/>
              <w:rPr>
                <w:rFonts w:eastAsia="Times New Roman" w:cstheme="minorHAnsi"/>
                <w:kern w:val="0"/>
                <w14:ligatures w14:val="none"/>
              </w:rPr>
            </w:pPr>
            <w:r>
              <w:rPr>
                <w:rFonts w:eastAsia="Times New Roman" w:cstheme="minorHAnsi"/>
                <w:kern w:val="0"/>
                <w14:ligatures w14:val="none"/>
              </w:rPr>
              <w:t>Law qualification</w:t>
            </w:r>
          </w:p>
          <w:p w14:paraId="512FC319" w14:textId="47BBEE3E" w:rsidR="006C7C4D" w:rsidRPr="0082226C" w:rsidRDefault="006C7C4D" w:rsidP="000239E7">
            <w:pPr>
              <w:spacing w:before="120"/>
              <w:rPr>
                <w:rFonts w:cstheme="minorHAnsi"/>
                <w:b/>
                <w:bCs/>
              </w:rPr>
            </w:pPr>
          </w:p>
        </w:tc>
        <w:tc>
          <w:tcPr>
            <w:tcW w:w="1650" w:type="dxa"/>
          </w:tcPr>
          <w:p w14:paraId="305C67FB" w14:textId="77777777" w:rsidR="000E7EF7" w:rsidRDefault="000E7EF7" w:rsidP="000239E7">
            <w:pPr>
              <w:spacing w:before="120"/>
              <w:rPr>
                <w:b/>
                <w:bCs/>
              </w:rPr>
            </w:pPr>
          </w:p>
        </w:tc>
      </w:tr>
      <w:tr w:rsidR="000E7EF7" w14:paraId="408BB1E0" w14:textId="77777777" w:rsidTr="4AFB604B">
        <w:tc>
          <w:tcPr>
            <w:tcW w:w="1650" w:type="dxa"/>
          </w:tcPr>
          <w:p w14:paraId="6EAC8BD7" w14:textId="77777777" w:rsidR="000E7EF7" w:rsidRDefault="000E7EF7" w:rsidP="000239E7">
            <w:pPr>
              <w:spacing w:before="120"/>
              <w:rPr>
                <w:b/>
                <w:bCs/>
              </w:rPr>
            </w:pPr>
            <w:r>
              <w:rPr>
                <w:b/>
                <w:bCs/>
              </w:rPr>
              <w:t xml:space="preserve">Experience </w:t>
            </w:r>
          </w:p>
          <w:p w14:paraId="2D670973" w14:textId="77777777" w:rsidR="000E7EF7" w:rsidRDefault="000E7EF7" w:rsidP="000239E7">
            <w:pPr>
              <w:spacing w:before="120"/>
              <w:rPr>
                <w:b/>
                <w:bCs/>
              </w:rPr>
            </w:pPr>
          </w:p>
          <w:p w14:paraId="5AF4AE7C" w14:textId="77777777" w:rsidR="000E7EF7" w:rsidRDefault="000E7EF7" w:rsidP="000239E7">
            <w:pPr>
              <w:spacing w:before="120"/>
              <w:rPr>
                <w:b/>
                <w:bCs/>
              </w:rPr>
            </w:pPr>
          </w:p>
          <w:p w14:paraId="7F94B4BD" w14:textId="77777777" w:rsidR="000E7EF7" w:rsidRDefault="000E7EF7" w:rsidP="000239E7">
            <w:pPr>
              <w:spacing w:before="120"/>
              <w:rPr>
                <w:b/>
                <w:bCs/>
              </w:rPr>
            </w:pPr>
          </w:p>
          <w:p w14:paraId="00F5D0C4" w14:textId="5453D119" w:rsidR="000E7EF7" w:rsidRDefault="000E7EF7" w:rsidP="000239E7">
            <w:pPr>
              <w:spacing w:before="120"/>
              <w:rPr>
                <w:b/>
                <w:bCs/>
              </w:rPr>
            </w:pPr>
          </w:p>
        </w:tc>
        <w:tc>
          <w:tcPr>
            <w:tcW w:w="2881" w:type="dxa"/>
          </w:tcPr>
          <w:p w14:paraId="008046CC" w14:textId="1B32CFF4" w:rsid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Significant experience in an Information Governance role</w:t>
            </w:r>
            <w:r w:rsidR="006C7C4D">
              <w:rPr>
                <w:rFonts w:eastAsia="Times New Roman" w:cstheme="minorHAnsi"/>
                <w:kern w:val="0"/>
                <w14:ligatures w14:val="none"/>
              </w:rPr>
              <w:t xml:space="preserve"> (minimum </w:t>
            </w:r>
            <w:r w:rsidR="00657F7A">
              <w:rPr>
                <w:rFonts w:eastAsia="Times New Roman" w:cstheme="minorHAnsi"/>
                <w:kern w:val="0"/>
                <w14:ligatures w14:val="none"/>
              </w:rPr>
              <w:t>5</w:t>
            </w:r>
            <w:r w:rsidR="006C7C4D">
              <w:rPr>
                <w:rFonts w:eastAsia="Times New Roman" w:cstheme="minorHAnsi"/>
                <w:kern w:val="0"/>
                <w14:ligatures w14:val="none"/>
              </w:rPr>
              <w:t xml:space="preserve"> years)</w:t>
            </w:r>
          </w:p>
          <w:p w14:paraId="4CE9B338" w14:textId="650067CD" w:rsidR="006C7C4D" w:rsidRPr="0082226C" w:rsidRDefault="006C7C4D" w:rsidP="000239E7">
            <w:pPr>
              <w:spacing w:before="120"/>
              <w:rPr>
                <w:rFonts w:eastAsia="Times New Roman" w:cstheme="minorHAnsi"/>
                <w:kern w:val="0"/>
                <w14:ligatures w14:val="none"/>
              </w:rPr>
            </w:pPr>
            <w:r>
              <w:rPr>
                <w:rFonts w:eastAsia="Times New Roman" w:cstheme="minorHAnsi"/>
                <w:kern w:val="0"/>
                <w14:ligatures w14:val="none"/>
              </w:rPr>
              <w:t xml:space="preserve">Experience of management of DPIA’s; Asset management; FOI’s; and SAR’s </w:t>
            </w:r>
          </w:p>
          <w:p w14:paraId="5428BB60" w14:textId="77777777" w:rsidR="0082226C" w:rsidRP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Project Management experience</w:t>
            </w:r>
          </w:p>
          <w:p w14:paraId="39A945B7" w14:textId="77777777" w:rsidR="0082226C" w:rsidRP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Experience of managing staff</w:t>
            </w:r>
          </w:p>
          <w:p w14:paraId="5E2D2772" w14:textId="77777777" w:rsidR="0082226C" w:rsidRP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Excellent communication skills, both written and oral</w:t>
            </w:r>
          </w:p>
          <w:p w14:paraId="054F32AF" w14:textId="77777777" w:rsidR="0082226C" w:rsidRPr="0082226C" w:rsidRDefault="0082226C" w:rsidP="000239E7">
            <w:pPr>
              <w:spacing w:before="120"/>
              <w:rPr>
                <w:rFonts w:eastAsia="Times New Roman" w:cstheme="minorHAnsi"/>
                <w:i/>
                <w:kern w:val="0"/>
                <w14:ligatures w14:val="none"/>
              </w:rPr>
            </w:pPr>
            <w:r w:rsidRPr="0082226C">
              <w:rPr>
                <w:rFonts w:eastAsia="Times New Roman" w:cstheme="minorHAnsi"/>
                <w:kern w:val="0"/>
                <w14:ligatures w14:val="none"/>
              </w:rPr>
              <w:t>Effective analytical and interpretation skills</w:t>
            </w:r>
          </w:p>
          <w:p w14:paraId="4A581720" w14:textId="77777777" w:rsidR="0082226C" w:rsidRP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Business planning skills</w:t>
            </w:r>
          </w:p>
          <w:p w14:paraId="307BFF44" w14:textId="77777777" w:rsidR="0082226C" w:rsidRP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Good keyboard skills</w:t>
            </w:r>
          </w:p>
          <w:p w14:paraId="1FFCA8F9" w14:textId="375DA134" w:rsid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Ability to organise workload, manage and achieve priorities and effectively manage competing priorities</w:t>
            </w:r>
            <w:r w:rsidR="009D3DAB">
              <w:rPr>
                <w:rFonts w:eastAsia="Times New Roman" w:cstheme="minorHAnsi"/>
                <w:kern w:val="0"/>
                <w14:ligatures w14:val="none"/>
              </w:rPr>
              <w:t>.</w:t>
            </w:r>
          </w:p>
          <w:p w14:paraId="715695B7" w14:textId="77777777" w:rsidR="000E7EF7" w:rsidRPr="0082226C" w:rsidRDefault="000E7EF7" w:rsidP="000239E7">
            <w:pPr>
              <w:spacing w:before="120"/>
              <w:rPr>
                <w:rFonts w:cstheme="minorHAnsi"/>
                <w:b/>
                <w:bCs/>
              </w:rPr>
            </w:pPr>
          </w:p>
        </w:tc>
        <w:tc>
          <w:tcPr>
            <w:tcW w:w="2835" w:type="dxa"/>
          </w:tcPr>
          <w:p w14:paraId="21BA7542" w14:textId="7F9224BB" w:rsidR="000E7EF7" w:rsidRPr="0082226C" w:rsidRDefault="000E7EF7" w:rsidP="000239E7">
            <w:pPr>
              <w:spacing w:before="120"/>
              <w:rPr>
                <w:rFonts w:cstheme="minorHAnsi"/>
                <w:b/>
                <w:bCs/>
              </w:rPr>
            </w:pPr>
          </w:p>
        </w:tc>
        <w:tc>
          <w:tcPr>
            <w:tcW w:w="1650" w:type="dxa"/>
          </w:tcPr>
          <w:p w14:paraId="09313A06" w14:textId="77777777" w:rsidR="000E7EF7" w:rsidRDefault="000E7EF7" w:rsidP="000239E7">
            <w:pPr>
              <w:spacing w:before="120"/>
              <w:rPr>
                <w:b/>
                <w:bCs/>
              </w:rPr>
            </w:pPr>
          </w:p>
        </w:tc>
      </w:tr>
      <w:tr w:rsidR="000E7EF7" w14:paraId="7E10F0C4" w14:textId="77777777" w:rsidTr="4AFB604B">
        <w:tc>
          <w:tcPr>
            <w:tcW w:w="1650" w:type="dxa"/>
          </w:tcPr>
          <w:p w14:paraId="23D45C5A" w14:textId="77777777" w:rsidR="000E7EF7" w:rsidRDefault="000E7EF7" w:rsidP="000239E7">
            <w:pPr>
              <w:spacing w:before="120"/>
              <w:rPr>
                <w:b/>
                <w:bCs/>
              </w:rPr>
            </w:pPr>
            <w:r>
              <w:rPr>
                <w:b/>
                <w:bCs/>
              </w:rPr>
              <w:t xml:space="preserve">Knowledge </w:t>
            </w:r>
          </w:p>
          <w:p w14:paraId="644816B0" w14:textId="77777777" w:rsidR="000E7EF7" w:rsidRDefault="000E7EF7" w:rsidP="000239E7">
            <w:pPr>
              <w:spacing w:before="120"/>
              <w:rPr>
                <w:b/>
                <w:bCs/>
              </w:rPr>
            </w:pPr>
          </w:p>
          <w:p w14:paraId="2E9726D7" w14:textId="77777777" w:rsidR="000E7EF7" w:rsidRDefault="000E7EF7" w:rsidP="000239E7">
            <w:pPr>
              <w:spacing w:before="120"/>
              <w:rPr>
                <w:b/>
                <w:bCs/>
              </w:rPr>
            </w:pPr>
          </w:p>
          <w:p w14:paraId="2D2DC27D" w14:textId="77777777" w:rsidR="000E7EF7" w:rsidRDefault="000E7EF7" w:rsidP="000239E7">
            <w:pPr>
              <w:spacing w:before="120"/>
              <w:rPr>
                <w:b/>
                <w:bCs/>
              </w:rPr>
            </w:pPr>
          </w:p>
          <w:p w14:paraId="4A33B2F8" w14:textId="53A0D715" w:rsidR="000E7EF7" w:rsidRDefault="000E7EF7" w:rsidP="000239E7">
            <w:pPr>
              <w:spacing w:before="120"/>
              <w:rPr>
                <w:b/>
                <w:bCs/>
              </w:rPr>
            </w:pPr>
          </w:p>
        </w:tc>
        <w:tc>
          <w:tcPr>
            <w:tcW w:w="2881" w:type="dxa"/>
          </w:tcPr>
          <w:p w14:paraId="4B19BB41" w14:textId="62EE7AAF" w:rsidR="0082226C" w:rsidRDefault="0082226C" w:rsidP="000239E7">
            <w:pPr>
              <w:spacing w:before="120"/>
              <w:rPr>
                <w:rFonts w:eastAsia="Times New Roman" w:cstheme="minorHAnsi"/>
                <w:kern w:val="0"/>
                <w14:ligatures w14:val="none"/>
              </w:rPr>
            </w:pPr>
            <w:r w:rsidRPr="0082226C">
              <w:rPr>
                <w:rFonts w:eastAsia="Times New Roman" w:cstheme="minorHAnsi"/>
                <w:kern w:val="0"/>
                <w14:ligatures w14:val="none"/>
              </w:rPr>
              <w:t>Expert knowledge of the Information Governance and Management requirements and application into practice</w:t>
            </w:r>
          </w:p>
          <w:p w14:paraId="71E57299" w14:textId="5B9B1C55" w:rsidR="006C7C4D" w:rsidRDefault="006C7C4D" w:rsidP="000239E7">
            <w:pPr>
              <w:spacing w:before="120"/>
              <w:rPr>
                <w:rFonts w:eastAsia="Times New Roman" w:cstheme="minorHAnsi"/>
                <w:kern w:val="0"/>
                <w14:ligatures w14:val="none"/>
              </w:rPr>
            </w:pPr>
            <w:r>
              <w:rPr>
                <w:rFonts w:eastAsia="Times New Roman" w:cstheme="minorHAnsi"/>
                <w:kern w:val="0"/>
                <w14:ligatures w14:val="none"/>
              </w:rPr>
              <w:t>Policy development</w:t>
            </w:r>
          </w:p>
          <w:p w14:paraId="689AC231" w14:textId="639FBCCD" w:rsidR="006C7C4D" w:rsidRDefault="006C7C4D" w:rsidP="000239E7">
            <w:pPr>
              <w:spacing w:before="120"/>
              <w:rPr>
                <w:rFonts w:eastAsia="Times New Roman" w:cstheme="minorHAnsi"/>
                <w:kern w:val="0"/>
                <w14:ligatures w14:val="none"/>
              </w:rPr>
            </w:pPr>
            <w:r>
              <w:rPr>
                <w:rFonts w:eastAsia="Times New Roman" w:cstheme="minorHAnsi"/>
                <w:kern w:val="0"/>
                <w14:ligatures w14:val="none"/>
              </w:rPr>
              <w:t>Advanced IT skills and ability to use applications available (e.g. Word, Excel, Teams)</w:t>
            </w:r>
          </w:p>
          <w:p w14:paraId="3C65B0B5" w14:textId="77777777" w:rsidR="000E7EF7" w:rsidRPr="0082226C" w:rsidRDefault="000E7EF7" w:rsidP="000239E7">
            <w:pPr>
              <w:spacing w:before="120"/>
              <w:rPr>
                <w:rFonts w:cstheme="minorHAnsi"/>
                <w:b/>
                <w:bCs/>
              </w:rPr>
            </w:pPr>
          </w:p>
        </w:tc>
        <w:tc>
          <w:tcPr>
            <w:tcW w:w="2835" w:type="dxa"/>
          </w:tcPr>
          <w:p w14:paraId="2438D6B7" w14:textId="77777777" w:rsidR="000E7EF7" w:rsidRPr="0082226C" w:rsidRDefault="000E7EF7" w:rsidP="000239E7">
            <w:pPr>
              <w:spacing w:before="120"/>
              <w:rPr>
                <w:rFonts w:cstheme="minorHAnsi"/>
                <w:b/>
                <w:bCs/>
              </w:rPr>
            </w:pPr>
          </w:p>
        </w:tc>
        <w:tc>
          <w:tcPr>
            <w:tcW w:w="1650" w:type="dxa"/>
          </w:tcPr>
          <w:p w14:paraId="3391DE7B" w14:textId="77777777" w:rsidR="000E7EF7" w:rsidRDefault="000E7EF7" w:rsidP="000239E7">
            <w:pPr>
              <w:spacing w:before="120"/>
              <w:rPr>
                <w:b/>
                <w:bCs/>
              </w:rPr>
            </w:pPr>
          </w:p>
        </w:tc>
      </w:tr>
    </w:tbl>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35B30354" w14:textId="77777777" w:rsidR="000E7EF7" w:rsidRDefault="000E7EF7" w:rsidP="00B47E3D">
      <w:pPr>
        <w:spacing w:after="0" w:line="240" w:lineRule="auto"/>
        <w:rPr>
          <w:b/>
          <w:bCs/>
        </w:rPr>
      </w:pPr>
    </w:p>
    <w:p w14:paraId="092A3B93" w14:textId="77777777" w:rsidR="005E6CD7" w:rsidRDefault="005E6CD7">
      <w:pPr>
        <w:rPr>
          <w:b/>
          <w:bCs/>
        </w:rPr>
      </w:pPr>
      <w:r>
        <w:rPr>
          <w:b/>
          <w:bCs/>
        </w:rPr>
        <w:br w:type="page"/>
      </w:r>
    </w:p>
    <w:p w14:paraId="60E7D2F1" w14:textId="6053C7F0" w:rsidR="00B47E3D" w:rsidRDefault="00B47E3D" w:rsidP="00B47E3D">
      <w:pPr>
        <w:spacing w:after="0" w:line="240" w:lineRule="auto"/>
        <w:rPr>
          <w:b/>
          <w:bCs/>
        </w:rPr>
      </w:pPr>
      <w:r w:rsidRPr="00B47E3D">
        <w:rPr>
          <w:b/>
          <w:bCs/>
        </w:rPr>
        <w:lastRenderedPageBreak/>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0239E7">
      <w:pPr>
        <w:pStyle w:val="ListParagraph"/>
        <w:spacing w:after="120" w:line="240" w:lineRule="auto"/>
        <w:ind w:left="1440" w:hanging="36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217308C6" w14:textId="77777777" w:rsidR="000239E7" w:rsidRPr="00C93F69" w:rsidRDefault="000239E7" w:rsidP="0012324A">
      <w:pPr>
        <w:spacing w:after="0" w:line="240" w:lineRule="auto"/>
        <w:rPr>
          <w:rFonts w:cstheme="minorHAnsi"/>
        </w:rPr>
      </w:pPr>
    </w:p>
    <w:p w14:paraId="7EA65B85" w14:textId="624367AA"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26E310B6" w14:textId="64014320"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06909189" w14:textId="0B5E0E9B"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74E40FC" w14:textId="470F980D"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48DE7F41" w14:textId="4B8E4B5F"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0606FEC7" w14:textId="7DB5A8DF"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Ensure you adhere to and work within the local Multiagency safeguarding vulnerable adults policies and procedures</w:t>
      </w:r>
    </w:p>
    <w:p w14:paraId="776F7465" w14:textId="20F977ED" w:rsidR="0012324A" w:rsidRPr="006C7C4D"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Ensure that you comply with the Mental Capacity Act and its Code of Practice when working with adults who may be unable to make decisions for themselves,</w:t>
      </w:r>
    </w:p>
    <w:p w14:paraId="09573CAC" w14:textId="0742C2C9" w:rsidR="0012324A" w:rsidRPr="00C93F69" w:rsidRDefault="0012324A" w:rsidP="000239E7">
      <w:pPr>
        <w:pStyle w:val="ListParagraph"/>
        <w:numPr>
          <w:ilvl w:val="0"/>
          <w:numId w:val="29"/>
        </w:numPr>
        <w:spacing w:before="120" w:after="0" w:line="240" w:lineRule="auto"/>
        <w:contextualSpacing w:val="0"/>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lastRenderedPageBreak/>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09872032" w14:textId="46A84158"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0EFDE1D1" w14:textId="2811437E"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Proactively, meaningfully and consistently demonstrate the Trust Values in your every day practice, decision making and interactions with patients and colleagues.</w:t>
      </w:r>
    </w:p>
    <w:p w14:paraId="03C7DB4D" w14:textId="77777777" w:rsidR="0012324A" w:rsidRPr="00C93F69" w:rsidRDefault="0012324A" w:rsidP="000239E7">
      <w:pPr>
        <w:pStyle w:val="ListParagraph"/>
        <w:numPr>
          <w:ilvl w:val="0"/>
          <w:numId w:val="29"/>
        </w:numPr>
        <w:spacing w:before="120" w:after="0" w:line="240" w:lineRule="auto"/>
        <w:contextualSpacing w:val="0"/>
        <w:rPr>
          <w:rFonts w:cstheme="minorHAnsi"/>
        </w:rPr>
      </w:pPr>
      <w:r w:rsidRPr="00C93F69">
        <w:rPr>
          <w:rFonts w:cstheme="minorHAnsi"/>
        </w:rPr>
        <w:t>Perform any other duties that may be required from time to time.</w:t>
      </w:r>
    </w:p>
    <w:p w14:paraId="283491BE" w14:textId="766BBFBF" w:rsidR="0012324A" w:rsidRPr="00C93F69" w:rsidRDefault="0012324A" w:rsidP="000239E7">
      <w:pPr>
        <w:spacing w:before="120" w:after="0" w:line="240" w:lineRule="auto"/>
        <w:rPr>
          <w:rFonts w:cstheme="minorHAnsi"/>
        </w:rPr>
      </w:pPr>
    </w:p>
    <w:p w14:paraId="6F96127E" w14:textId="5B44550F" w:rsidR="0012324A" w:rsidRPr="00C93F69" w:rsidRDefault="0012324A" w:rsidP="000239E7">
      <w:pPr>
        <w:spacing w:before="120"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2E86" w14:textId="77777777" w:rsidR="00780552" w:rsidRDefault="00780552" w:rsidP="00C228A7">
      <w:pPr>
        <w:spacing w:after="0" w:line="240" w:lineRule="auto"/>
      </w:pPr>
      <w:r>
        <w:separator/>
      </w:r>
    </w:p>
  </w:endnote>
  <w:endnote w:type="continuationSeparator" w:id="0">
    <w:p w14:paraId="2D8F52D8" w14:textId="77777777" w:rsidR="00780552" w:rsidRDefault="0078055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F726" w14:textId="77777777" w:rsidR="00780552" w:rsidRDefault="00780552" w:rsidP="00C228A7">
      <w:pPr>
        <w:spacing w:after="0" w:line="240" w:lineRule="auto"/>
      </w:pPr>
      <w:r>
        <w:separator/>
      </w:r>
    </w:p>
  </w:footnote>
  <w:footnote w:type="continuationSeparator" w:id="0">
    <w:p w14:paraId="748A0930" w14:textId="77777777" w:rsidR="00780552" w:rsidRDefault="0078055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0C48DE47"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204B5"/>
    <w:multiLevelType w:val="hybridMultilevel"/>
    <w:tmpl w:val="785E2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17755"/>
    <w:multiLevelType w:val="hybridMultilevel"/>
    <w:tmpl w:val="3886DA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ED4427C"/>
    <w:multiLevelType w:val="hybridMultilevel"/>
    <w:tmpl w:val="3886DAC8"/>
    <w:lvl w:ilvl="0" w:tplc="2988C9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06D77"/>
    <w:multiLevelType w:val="hybridMultilevel"/>
    <w:tmpl w:val="7A9C3E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64684"/>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B12E9"/>
    <w:multiLevelType w:val="hybridMultilevel"/>
    <w:tmpl w:val="75D83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981608"/>
    <w:multiLevelType w:val="hybridMultilevel"/>
    <w:tmpl w:val="E5302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55A59"/>
    <w:multiLevelType w:val="hybridMultilevel"/>
    <w:tmpl w:val="BC80F9F4"/>
    <w:lvl w:ilvl="0" w:tplc="912E12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5"/>
  </w:num>
  <w:num w:numId="2" w16cid:durableId="266426907">
    <w:abstractNumId w:val="22"/>
  </w:num>
  <w:num w:numId="3" w16cid:durableId="658582995">
    <w:abstractNumId w:val="9"/>
  </w:num>
  <w:num w:numId="4" w16cid:durableId="394203543">
    <w:abstractNumId w:val="2"/>
  </w:num>
  <w:num w:numId="5" w16cid:durableId="581260405">
    <w:abstractNumId w:val="23"/>
  </w:num>
  <w:num w:numId="6" w16cid:durableId="12151571">
    <w:abstractNumId w:val="1"/>
  </w:num>
  <w:num w:numId="7" w16cid:durableId="1310865914">
    <w:abstractNumId w:val="36"/>
  </w:num>
  <w:num w:numId="8" w16cid:durableId="1122962674">
    <w:abstractNumId w:val="27"/>
  </w:num>
  <w:num w:numId="9" w16cid:durableId="25446215">
    <w:abstractNumId w:val="16"/>
  </w:num>
  <w:num w:numId="10" w16cid:durableId="388695820">
    <w:abstractNumId w:val="3"/>
  </w:num>
  <w:num w:numId="11" w16cid:durableId="462891432">
    <w:abstractNumId w:val="18"/>
  </w:num>
  <w:num w:numId="12" w16cid:durableId="1240479132">
    <w:abstractNumId w:val="8"/>
  </w:num>
  <w:num w:numId="13" w16cid:durableId="852576456">
    <w:abstractNumId w:val="25"/>
  </w:num>
  <w:num w:numId="14" w16cid:durableId="89395975">
    <w:abstractNumId w:val="15"/>
  </w:num>
  <w:num w:numId="15" w16cid:durableId="883979253">
    <w:abstractNumId w:val="26"/>
  </w:num>
  <w:num w:numId="16" w16cid:durableId="1697997398">
    <w:abstractNumId w:val="21"/>
  </w:num>
  <w:num w:numId="17" w16cid:durableId="1589344160">
    <w:abstractNumId w:val="37"/>
  </w:num>
  <w:num w:numId="18" w16cid:durableId="1453091122">
    <w:abstractNumId w:val="30"/>
  </w:num>
  <w:num w:numId="19" w16cid:durableId="18548649">
    <w:abstractNumId w:val="7"/>
  </w:num>
  <w:num w:numId="20" w16cid:durableId="1503081348">
    <w:abstractNumId w:val="0"/>
  </w:num>
  <w:num w:numId="21" w16cid:durableId="204487177">
    <w:abstractNumId w:val="17"/>
  </w:num>
  <w:num w:numId="22" w16cid:durableId="31851578">
    <w:abstractNumId w:val="19"/>
  </w:num>
  <w:num w:numId="23" w16cid:durableId="1544636722">
    <w:abstractNumId w:val="24"/>
  </w:num>
  <w:num w:numId="24" w16cid:durableId="939482732">
    <w:abstractNumId w:val="11"/>
  </w:num>
  <w:num w:numId="25" w16cid:durableId="1706560228">
    <w:abstractNumId w:val="34"/>
  </w:num>
  <w:num w:numId="26" w16cid:durableId="1976449270">
    <w:abstractNumId w:val="32"/>
  </w:num>
  <w:num w:numId="27" w16cid:durableId="1985114447">
    <w:abstractNumId w:val="4"/>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9"/>
  </w:num>
  <w:num w:numId="30" w16cid:durableId="690036425">
    <w:abstractNumId w:val="10"/>
  </w:num>
  <w:num w:numId="31" w16cid:durableId="528761026">
    <w:abstractNumId w:val="14"/>
  </w:num>
  <w:num w:numId="32" w16cid:durableId="248774850">
    <w:abstractNumId w:val="35"/>
  </w:num>
  <w:num w:numId="33" w16cid:durableId="74016975">
    <w:abstractNumId w:val="28"/>
  </w:num>
  <w:num w:numId="34" w16cid:durableId="745567311">
    <w:abstractNumId w:val="6"/>
  </w:num>
  <w:num w:numId="35" w16cid:durableId="623273633">
    <w:abstractNumId w:val="33"/>
  </w:num>
  <w:num w:numId="36" w16cid:durableId="39524806">
    <w:abstractNumId w:val="31"/>
  </w:num>
  <w:num w:numId="37" w16cid:durableId="374041642">
    <w:abstractNumId w:val="20"/>
  </w:num>
  <w:num w:numId="38" w16cid:durableId="936983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39E7"/>
    <w:rsid w:val="00027008"/>
    <w:rsid w:val="00040373"/>
    <w:rsid w:val="000A2724"/>
    <w:rsid w:val="000E7EF7"/>
    <w:rsid w:val="00106ACB"/>
    <w:rsid w:val="0012324A"/>
    <w:rsid w:val="00137866"/>
    <w:rsid w:val="001C658F"/>
    <w:rsid w:val="001D298A"/>
    <w:rsid w:val="001D2D72"/>
    <w:rsid w:val="00200961"/>
    <w:rsid w:val="00213E8D"/>
    <w:rsid w:val="002A442A"/>
    <w:rsid w:val="002F6461"/>
    <w:rsid w:val="00317DEE"/>
    <w:rsid w:val="00347F07"/>
    <w:rsid w:val="003A639A"/>
    <w:rsid w:val="003B0299"/>
    <w:rsid w:val="003D3A85"/>
    <w:rsid w:val="003F41E2"/>
    <w:rsid w:val="00414F68"/>
    <w:rsid w:val="00481071"/>
    <w:rsid w:val="00526DF3"/>
    <w:rsid w:val="00553831"/>
    <w:rsid w:val="005A0CCA"/>
    <w:rsid w:val="005D0FA7"/>
    <w:rsid w:val="005D366C"/>
    <w:rsid w:val="005D39A4"/>
    <w:rsid w:val="005D4986"/>
    <w:rsid w:val="005E6CD7"/>
    <w:rsid w:val="005E7CA2"/>
    <w:rsid w:val="005F6D47"/>
    <w:rsid w:val="00603CA0"/>
    <w:rsid w:val="006201D9"/>
    <w:rsid w:val="00654E1D"/>
    <w:rsid w:val="00657F7A"/>
    <w:rsid w:val="00664915"/>
    <w:rsid w:val="00667F12"/>
    <w:rsid w:val="0067376E"/>
    <w:rsid w:val="006955FA"/>
    <w:rsid w:val="006B4BB3"/>
    <w:rsid w:val="006C7C4D"/>
    <w:rsid w:val="006E5F38"/>
    <w:rsid w:val="006F7294"/>
    <w:rsid w:val="00735384"/>
    <w:rsid w:val="007462A2"/>
    <w:rsid w:val="007619A5"/>
    <w:rsid w:val="00775F9E"/>
    <w:rsid w:val="00780552"/>
    <w:rsid w:val="007A3336"/>
    <w:rsid w:val="007C77EC"/>
    <w:rsid w:val="007E66A1"/>
    <w:rsid w:val="0082226C"/>
    <w:rsid w:val="008855A0"/>
    <w:rsid w:val="00896883"/>
    <w:rsid w:val="008B281F"/>
    <w:rsid w:val="008E0726"/>
    <w:rsid w:val="00921E4C"/>
    <w:rsid w:val="00942AD2"/>
    <w:rsid w:val="00960B83"/>
    <w:rsid w:val="009B64F0"/>
    <w:rsid w:val="009C18C0"/>
    <w:rsid w:val="009D2129"/>
    <w:rsid w:val="009D3DAB"/>
    <w:rsid w:val="009E5285"/>
    <w:rsid w:val="00A0000C"/>
    <w:rsid w:val="00A10D44"/>
    <w:rsid w:val="00A141BC"/>
    <w:rsid w:val="00A40B7A"/>
    <w:rsid w:val="00A4217B"/>
    <w:rsid w:val="00A802F6"/>
    <w:rsid w:val="00A850F0"/>
    <w:rsid w:val="00B06C4E"/>
    <w:rsid w:val="00B166FE"/>
    <w:rsid w:val="00B47E3D"/>
    <w:rsid w:val="00B701AA"/>
    <w:rsid w:val="00B70E74"/>
    <w:rsid w:val="00BA0C06"/>
    <w:rsid w:val="00BA7F00"/>
    <w:rsid w:val="00BF0604"/>
    <w:rsid w:val="00C228A7"/>
    <w:rsid w:val="00C3196F"/>
    <w:rsid w:val="00C93F69"/>
    <w:rsid w:val="00CB7D2A"/>
    <w:rsid w:val="00CE0721"/>
    <w:rsid w:val="00D13DB6"/>
    <w:rsid w:val="00DD2943"/>
    <w:rsid w:val="00DF73E3"/>
    <w:rsid w:val="00E27B30"/>
    <w:rsid w:val="00E36E4F"/>
    <w:rsid w:val="00EB276E"/>
    <w:rsid w:val="00EC2C8E"/>
    <w:rsid w:val="00EE2106"/>
    <w:rsid w:val="00EF5CFF"/>
    <w:rsid w:val="00F13768"/>
    <w:rsid w:val="00F659C1"/>
    <w:rsid w:val="00F66A21"/>
    <w:rsid w:val="00F82AF9"/>
    <w:rsid w:val="00F94CB4"/>
    <w:rsid w:val="00FC0CC7"/>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rsid w:val="0012324A"/>
    <w:rPr>
      <w:rFonts w:ascii="Arial" w:eastAsia="Times New Roman" w:hAnsi="Arial" w:cs="Arial"/>
      <w:kern w:val="0"/>
      <w:sz w:val="24"/>
      <w:szCs w:val="24"/>
      <w14:ligatures w14:val="none"/>
    </w:rPr>
  </w:style>
  <w:style w:type="paragraph" w:styleId="BodyText">
    <w:name w:val="Body Text"/>
    <w:basedOn w:val="Normal"/>
    <w:link w:val="BodyTextChar"/>
    <w:uiPriority w:val="99"/>
    <w:semiHidden/>
    <w:unhideWhenUsed/>
    <w:rsid w:val="0082226C"/>
    <w:pPr>
      <w:spacing w:after="120"/>
    </w:pPr>
  </w:style>
  <w:style w:type="character" w:customStyle="1" w:styleId="BodyTextChar">
    <w:name w:val="Body Text Char"/>
    <w:basedOn w:val="DefaultParagraphFont"/>
    <w:link w:val="BodyText"/>
    <w:uiPriority w:val="99"/>
    <w:semiHidden/>
    <w:rsid w:val="0082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EF8719AD3F6D47B5E6BC959109C541" ma:contentTypeVersion="4" ma:contentTypeDescription="Create a new document." ma:contentTypeScope="" ma:versionID="260a3b30e58ca5e4abd650249f27e9ba">
  <xsd:schema xmlns:xsd="http://www.w3.org/2001/XMLSchema" xmlns:xs="http://www.w3.org/2001/XMLSchema" xmlns:p="http://schemas.microsoft.com/office/2006/metadata/properties" xmlns:ns2="24d98a97-be3c-4182-bedf-58d6a3dd1a83" targetNamespace="http://schemas.microsoft.com/office/2006/metadata/properties" ma:root="true" ma:fieldsID="d21a16746b635a90113ab91142326ef3" ns2:_="">
    <xsd:import namespace="24d98a97-be3c-4182-bedf-58d6a3dd1a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8a97-be3c-4182-bedf-58d6a3dd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2.xml><?xml version="1.0" encoding="utf-8"?>
<ds:datastoreItem xmlns:ds="http://schemas.openxmlformats.org/officeDocument/2006/customXml" ds:itemID="{7323C886-DF7B-423B-861D-07A4F94C0C0D}"/>
</file>

<file path=customXml/itemProps3.xml><?xml version="1.0" encoding="utf-8"?>
<ds:datastoreItem xmlns:ds="http://schemas.openxmlformats.org/officeDocument/2006/customXml" ds:itemID="{DACBA31B-31F6-43A6-86CD-D7ACCEF106FF}"/>
</file>

<file path=customXml/itemProps4.xml><?xml version="1.0" encoding="utf-8"?>
<ds:datastoreItem xmlns:ds="http://schemas.openxmlformats.org/officeDocument/2006/customXml" ds:itemID="{3E37385F-5EE7-46BA-970A-5F34470D8CAF}"/>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2024-09-26T12:43:00Z</dcterms:created>
  <dcterms:modified xsi:type="dcterms:W3CDTF">2024-10-02T15:07:00Z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0x01010033EF8719AD3F6D47B5E6BC959109C541</vt:lpwstr>
  </property>
</Properties>
</file>