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D85B" w14:textId="1AC28816" w:rsidR="00077D1D" w:rsidRPr="00077D1D" w:rsidRDefault="009C538F" w:rsidP="009C538F">
      <w:pPr>
        <w:spacing w:after="0"/>
        <w:rPr>
          <w:sz w:val="22"/>
          <w:szCs w:val="22"/>
        </w:rPr>
      </w:pPr>
      <w:r>
        <w:rPr>
          <w:sz w:val="22"/>
          <w:szCs w:val="22"/>
        </w:rPr>
        <w:t xml:space="preserve"> </w:t>
      </w:r>
    </w:p>
    <w:p w14:paraId="212B15A5" w14:textId="2B3A717F" w:rsidR="00077D1D" w:rsidRPr="00077D1D" w:rsidRDefault="00D62559" w:rsidP="009C538F">
      <w:pPr>
        <w:spacing w:after="0"/>
        <w:rPr>
          <w:b/>
          <w:bCs/>
          <w:sz w:val="28"/>
          <w:szCs w:val="28"/>
        </w:rPr>
      </w:pPr>
      <w:r>
        <w:rPr>
          <w:b/>
          <w:bCs/>
          <w:sz w:val="28"/>
          <w:szCs w:val="28"/>
        </w:rPr>
        <w:t>Job</w:t>
      </w:r>
      <w:r w:rsidR="00077D1D" w:rsidRPr="00077D1D">
        <w:rPr>
          <w:b/>
          <w:bCs/>
          <w:sz w:val="28"/>
          <w:szCs w:val="28"/>
        </w:rPr>
        <w:t xml:space="preserve"> Description</w:t>
      </w:r>
    </w:p>
    <w:p w14:paraId="0CEA14B7" w14:textId="77777777" w:rsidR="00077D1D" w:rsidRPr="00077D1D" w:rsidRDefault="00077D1D" w:rsidP="009C538F">
      <w:pPr>
        <w:spacing w:after="0"/>
        <w:rPr>
          <w:b/>
          <w:bCs/>
          <w:sz w:val="22"/>
          <w:szCs w:val="22"/>
        </w:rPr>
      </w:pPr>
      <w:r w:rsidRPr="00077D1D">
        <w:rPr>
          <w:b/>
          <w:bCs/>
          <w:sz w:val="22"/>
          <w:szCs w:val="22"/>
        </w:rPr>
        <w:t>Director of Academic Delivery (Kaihautū Ako)</w:t>
      </w:r>
    </w:p>
    <w:p w14:paraId="7CE0A79D" w14:textId="2175E868" w:rsidR="00F40212" w:rsidRDefault="00F40212" w:rsidP="009C538F">
      <w:pPr>
        <w:spacing w:after="0"/>
        <w:rPr>
          <w:b/>
          <w:bCs/>
          <w:sz w:val="22"/>
          <w:szCs w:val="22"/>
        </w:rPr>
      </w:pPr>
      <w:r>
        <w:rPr>
          <w:b/>
          <w:bCs/>
          <w:sz w:val="22"/>
          <w:szCs w:val="22"/>
        </w:rPr>
        <w:t>Reporting to Chief Executive Officer</w:t>
      </w:r>
    </w:p>
    <w:p w14:paraId="0B2965AF" w14:textId="304C5EE1" w:rsidR="00077D1D" w:rsidRPr="00077D1D" w:rsidRDefault="00077D1D" w:rsidP="009C538F">
      <w:pPr>
        <w:spacing w:after="0"/>
        <w:rPr>
          <w:sz w:val="22"/>
          <w:szCs w:val="22"/>
        </w:rPr>
      </w:pPr>
      <w:r w:rsidRPr="00077D1D">
        <w:rPr>
          <w:b/>
          <w:bCs/>
          <w:sz w:val="22"/>
          <w:szCs w:val="22"/>
        </w:rPr>
        <w:t>New Zealand Tertiary College (NZTC)</w:t>
      </w:r>
    </w:p>
    <w:p w14:paraId="4E2E9CB3" w14:textId="6C82CCF2" w:rsidR="00077D1D" w:rsidRPr="00077D1D" w:rsidRDefault="009C538F" w:rsidP="009C538F">
      <w:pPr>
        <w:spacing w:after="0"/>
        <w:rPr>
          <w:sz w:val="22"/>
          <w:szCs w:val="22"/>
        </w:rPr>
      </w:pPr>
      <w:r>
        <w:rPr>
          <w:sz w:val="22"/>
          <w:szCs w:val="22"/>
        </w:rPr>
        <w:t xml:space="preserve"> </w:t>
      </w:r>
    </w:p>
    <w:p w14:paraId="6D3E6CB8" w14:textId="77777777" w:rsidR="00077D1D" w:rsidRPr="00077D1D" w:rsidRDefault="00077D1D" w:rsidP="009C538F">
      <w:pPr>
        <w:spacing w:after="0"/>
        <w:rPr>
          <w:b/>
          <w:bCs/>
          <w:sz w:val="22"/>
          <w:szCs w:val="22"/>
        </w:rPr>
      </w:pPr>
      <w:r w:rsidRPr="00077D1D">
        <w:rPr>
          <w:b/>
          <w:bCs/>
          <w:sz w:val="22"/>
          <w:szCs w:val="22"/>
        </w:rPr>
        <w:t>Position Purpose (Kaupapa o te Tūranga)</w:t>
      </w:r>
    </w:p>
    <w:p w14:paraId="0EDDCC0D" w14:textId="77777777" w:rsidR="00077D1D" w:rsidRPr="00077D1D" w:rsidRDefault="00077D1D" w:rsidP="009C538F">
      <w:pPr>
        <w:spacing w:after="0"/>
        <w:rPr>
          <w:sz w:val="22"/>
          <w:szCs w:val="22"/>
        </w:rPr>
      </w:pPr>
      <w:r w:rsidRPr="00077D1D">
        <w:rPr>
          <w:sz w:val="22"/>
          <w:szCs w:val="22"/>
        </w:rPr>
        <w:t>The Director of Academic Delivery (Kaihautū Ako) provides strategic and operational leadership of NZTC’s academic delivery across all programmes. The role ensures high-quality teaching and learning that aligns with NZQA standards, adult learning (ako pakeke) principles, and NZTC’s commitment to learner success (ākonga angitu).</w:t>
      </w:r>
    </w:p>
    <w:p w14:paraId="4B8176DB" w14:textId="77777777" w:rsidR="00B80E40" w:rsidRDefault="00B80E40" w:rsidP="009C538F">
      <w:pPr>
        <w:spacing w:after="0"/>
        <w:rPr>
          <w:sz w:val="22"/>
          <w:szCs w:val="22"/>
        </w:rPr>
      </w:pPr>
    </w:p>
    <w:p w14:paraId="6DE9D647" w14:textId="5324F2BF" w:rsidR="00077D1D" w:rsidRPr="00077D1D" w:rsidRDefault="00077D1D" w:rsidP="009C538F">
      <w:pPr>
        <w:spacing w:after="0"/>
        <w:rPr>
          <w:sz w:val="22"/>
          <w:szCs w:val="22"/>
        </w:rPr>
      </w:pPr>
      <w:r w:rsidRPr="00077D1D">
        <w:rPr>
          <w:sz w:val="22"/>
          <w:szCs w:val="22"/>
        </w:rPr>
        <w:t>This position leads Programme Leaders, Kaiako (Lecturers), and academic staff to ensure consistent delivery, robust assessment practices, and strong educational outcomes for diverse learners across Aotearoa New Zealand and offshore contexts.</w:t>
      </w:r>
    </w:p>
    <w:p w14:paraId="3ECE4D8A" w14:textId="3FB949BF" w:rsidR="00077D1D" w:rsidRPr="00077D1D" w:rsidRDefault="009C538F" w:rsidP="009C538F">
      <w:pPr>
        <w:spacing w:after="0"/>
        <w:rPr>
          <w:sz w:val="22"/>
          <w:szCs w:val="22"/>
        </w:rPr>
      </w:pPr>
      <w:r>
        <w:rPr>
          <w:sz w:val="22"/>
          <w:szCs w:val="22"/>
        </w:rPr>
        <w:t xml:space="preserve"> </w:t>
      </w:r>
    </w:p>
    <w:p w14:paraId="0B8188C5" w14:textId="77777777" w:rsidR="00077D1D" w:rsidRPr="00077D1D" w:rsidRDefault="00077D1D" w:rsidP="009C538F">
      <w:pPr>
        <w:spacing w:after="0"/>
        <w:rPr>
          <w:b/>
          <w:bCs/>
          <w:sz w:val="22"/>
          <w:szCs w:val="22"/>
        </w:rPr>
      </w:pPr>
      <w:r w:rsidRPr="00077D1D">
        <w:rPr>
          <w:b/>
          <w:bCs/>
          <w:sz w:val="22"/>
          <w:szCs w:val="22"/>
        </w:rPr>
        <w:t>Key Accountabilities (Ngā Kawenga Matua)</w:t>
      </w:r>
    </w:p>
    <w:p w14:paraId="036894AF" w14:textId="77777777" w:rsidR="00077D1D" w:rsidRPr="00077D1D" w:rsidRDefault="00077D1D" w:rsidP="009C538F">
      <w:pPr>
        <w:spacing w:after="0"/>
        <w:rPr>
          <w:b/>
          <w:bCs/>
          <w:sz w:val="22"/>
          <w:szCs w:val="22"/>
        </w:rPr>
      </w:pPr>
      <w:r w:rsidRPr="00077D1D">
        <w:rPr>
          <w:b/>
          <w:bCs/>
          <w:sz w:val="22"/>
          <w:szCs w:val="22"/>
        </w:rPr>
        <w:t>1. Academic Leadership (Arataki Mātauranga)</w:t>
      </w:r>
    </w:p>
    <w:p w14:paraId="5E1CAA01" w14:textId="662734DD" w:rsidR="00077D1D" w:rsidRPr="00077D1D" w:rsidRDefault="00077D1D" w:rsidP="009C538F">
      <w:pPr>
        <w:numPr>
          <w:ilvl w:val="0"/>
          <w:numId w:val="1"/>
        </w:numPr>
        <w:spacing w:after="0"/>
        <w:rPr>
          <w:sz w:val="22"/>
          <w:szCs w:val="22"/>
        </w:rPr>
      </w:pPr>
      <w:r w:rsidRPr="00077D1D">
        <w:rPr>
          <w:sz w:val="22"/>
          <w:szCs w:val="22"/>
        </w:rPr>
        <w:t>Provide leadership across NZTC’s teaching workforce, including Programme Leaders and Lecturers</w:t>
      </w:r>
    </w:p>
    <w:p w14:paraId="0CB2DD8E" w14:textId="77777777" w:rsidR="00077D1D" w:rsidRPr="00077D1D" w:rsidRDefault="00077D1D" w:rsidP="009C538F">
      <w:pPr>
        <w:numPr>
          <w:ilvl w:val="0"/>
          <w:numId w:val="1"/>
        </w:numPr>
        <w:spacing w:after="0"/>
        <w:rPr>
          <w:sz w:val="22"/>
          <w:szCs w:val="22"/>
        </w:rPr>
      </w:pPr>
      <w:r w:rsidRPr="00077D1D">
        <w:rPr>
          <w:sz w:val="22"/>
          <w:szCs w:val="22"/>
        </w:rPr>
        <w:t>Establish and maintain clear expectations for teaching practice, assessment, and learner engagement</w:t>
      </w:r>
    </w:p>
    <w:p w14:paraId="44EA475C" w14:textId="77777777" w:rsidR="00077D1D" w:rsidRPr="00077D1D" w:rsidRDefault="00077D1D" w:rsidP="009C538F">
      <w:pPr>
        <w:numPr>
          <w:ilvl w:val="0"/>
          <w:numId w:val="1"/>
        </w:numPr>
        <w:spacing w:after="0"/>
        <w:rPr>
          <w:sz w:val="22"/>
          <w:szCs w:val="22"/>
        </w:rPr>
      </w:pPr>
      <w:r w:rsidRPr="00077D1D">
        <w:rPr>
          <w:sz w:val="22"/>
          <w:szCs w:val="22"/>
        </w:rPr>
        <w:t>Ensure consistency of delivery across all programmes and campuses (including online provision)</w:t>
      </w:r>
    </w:p>
    <w:p w14:paraId="6AC065CB" w14:textId="77777777" w:rsidR="00077D1D" w:rsidRPr="00077D1D" w:rsidRDefault="00077D1D" w:rsidP="009C538F">
      <w:pPr>
        <w:numPr>
          <w:ilvl w:val="0"/>
          <w:numId w:val="1"/>
        </w:numPr>
        <w:spacing w:after="0"/>
        <w:rPr>
          <w:sz w:val="22"/>
          <w:szCs w:val="22"/>
        </w:rPr>
      </w:pPr>
      <w:r w:rsidRPr="00077D1D">
        <w:rPr>
          <w:sz w:val="22"/>
          <w:szCs w:val="22"/>
        </w:rPr>
        <w:t>Foster a culture of ako (reciprocal learning) and continuous improvement</w:t>
      </w:r>
    </w:p>
    <w:p w14:paraId="720E009F" w14:textId="19169876" w:rsidR="00077D1D" w:rsidRPr="00077D1D" w:rsidRDefault="009C538F" w:rsidP="009C538F">
      <w:pPr>
        <w:spacing w:after="0"/>
        <w:rPr>
          <w:sz w:val="22"/>
          <w:szCs w:val="22"/>
        </w:rPr>
      </w:pPr>
      <w:r>
        <w:rPr>
          <w:sz w:val="22"/>
          <w:szCs w:val="22"/>
        </w:rPr>
        <w:t xml:space="preserve"> </w:t>
      </w:r>
    </w:p>
    <w:p w14:paraId="1E3AD8D6" w14:textId="77777777" w:rsidR="00077D1D" w:rsidRPr="00077D1D" w:rsidRDefault="00077D1D" w:rsidP="009C538F">
      <w:pPr>
        <w:spacing w:after="0"/>
        <w:rPr>
          <w:b/>
          <w:bCs/>
          <w:sz w:val="22"/>
          <w:szCs w:val="22"/>
        </w:rPr>
      </w:pPr>
      <w:r w:rsidRPr="00077D1D">
        <w:rPr>
          <w:b/>
          <w:bCs/>
          <w:sz w:val="22"/>
          <w:szCs w:val="22"/>
        </w:rPr>
        <w:t>2. Academic Delivery Model Implementation</w:t>
      </w:r>
    </w:p>
    <w:p w14:paraId="529D53FF" w14:textId="77777777" w:rsidR="00077D1D" w:rsidRPr="00077D1D" w:rsidRDefault="00077D1D" w:rsidP="009C538F">
      <w:pPr>
        <w:numPr>
          <w:ilvl w:val="0"/>
          <w:numId w:val="2"/>
        </w:numPr>
        <w:spacing w:after="0"/>
        <w:rPr>
          <w:sz w:val="22"/>
          <w:szCs w:val="22"/>
        </w:rPr>
      </w:pPr>
      <w:r w:rsidRPr="00077D1D">
        <w:rPr>
          <w:sz w:val="22"/>
          <w:szCs w:val="22"/>
        </w:rPr>
        <w:t>Lead the implementation of NZTC’s academic delivery framework</w:t>
      </w:r>
    </w:p>
    <w:p w14:paraId="78AC37B3" w14:textId="77777777" w:rsidR="00077D1D" w:rsidRPr="00077D1D" w:rsidRDefault="00077D1D" w:rsidP="009C538F">
      <w:pPr>
        <w:numPr>
          <w:ilvl w:val="0"/>
          <w:numId w:val="2"/>
        </w:numPr>
        <w:spacing w:after="0"/>
        <w:rPr>
          <w:sz w:val="22"/>
          <w:szCs w:val="22"/>
        </w:rPr>
      </w:pPr>
      <w:r w:rsidRPr="00077D1D">
        <w:rPr>
          <w:sz w:val="22"/>
          <w:szCs w:val="22"/>
        </w:rPr>
        <w:t>Develop and embed sustainable workload models for kaiako</w:t>
      </w:r>
    </w:p>
    <w:p w14:paraId="01E1B49C" w14:textId="77777777" w:rsidR="00077D1D" w:rsidRPr="00077D1D" w:rsidRDefault="00077D1D" w:rsidP="009C538F">
      <w:pPr>
        <w:numPr>
          <w:ilvl w:val="0"/>
          <w:numId w:val="2"/>
        </w:numPr>
        <w:spacing w:after="0"/>
        <w:rPr>
          <w:sz w:val="22"/>
          <w:szCs w:val="22"/>
        </w:rPr>
      </w:pPr>
      <w:r w:rsidRPr="00077D1D">
        <w:rPr>
          <w:sz w:val="22"/>
          <w:szCs w:val="22"/>
        </w:rPr>
        <w:t>Align teaching delivery with tauira enrolments and programme demand</w:t>
      </w:r>
    </w:p>
    <w:p w14:paraId="4ADA6B69" w14:textId="77777777" w:rsidR="00077D1D" w:rsidRPr="00077D1D" w:rsidRDefault="00077D1D" w:rsidP="009C538F">
      <w:pPr>
        <w:numPr>
          <w:ilvl w:val="0"/>
          <w:numId w:val="2"/>
        </w:numPr>
        <w:spacing w:after="0"/>
        <w:rPr>
          <w:sz w:val="22"/>
          <w:szCs w:val="22"/>
        </w:rPr>
      </w:pPr>
      <w:r w:rsidRPr="00077D1D">
        <w:rPr>
          <w:sz w:val="22"/>
          <w:szCs w:val="22"/>
        </w:rPr>
        <w:t>Support transition to structured and scalable delivery models, including movement away from legacy contractor-based approaches where appropriate</w:t>
      </w:r>
    </w:p>
    <w:p w14:paraId="38577177" w14:textId="216A2C25" w:rsidR="00077D1D" w:rsidRPr="00077D1D" w:rsidRDefault="009C538F" w:rsidP="009C538F">
      <w:pPr>
        <w:spacing w:after="0"/>
        <w:rPr>
          <w:sz w:val="22"/>
          <w:szCs w:val="22"/>
        </w:rPr>
      </w:pPr>
      <w:r>
        <w:rPr>
          <w:sz w:val="22"/>
          <w:szCs w:val="22"/>
        </w:rPr>
        <w:t xml:space="preserve"> </w:t>
      </w:r>
    </w:p>
    <w:p w14:paraId="0DA8B64E" w14:textId="77777777" w:rsidR="00077D1D" w:rsidRPr="00077D1D" w:rsidRDefault="00077D1D" w:rsidP="009C538F">
      <w:pPr>
        <w:spacing w:after="0"/>
        <w:rPr>
          <w:b/>
          <w:bCs/>
          <w:sz w:val="22"/>
          <w:szCs w:val="22"/>
        </w:rPr>
      </w:pPr>
      <w:r w:rsidRPr="00077D1D">
        <w:rPr>
          <w:b/>
          <w:bCs/>
          <w:sz w:val="22"/>
          <w:szCs w:val="22"/>
        </w:rPr>
        <w:t>3. Teaching Excellence (Kairangi Ako)</w:t>
      </w:r>
    </w:p>
    <w:p w14:paraId="1C667A2C" w14:textId="77777777" w:rsidR="00077D1D" w:rsidRPr="00077D1D" w:rsidRDefault="00077D1D" w:rsidP="009C538F">
      <w:pPr>
        <w:numPr>
          <w:ilvl w:val="0"/>
          <w:numId w:val="3"/>
        </w:numPr>
        <w:spacing w:after="0"/>
        <w:rPr>
          <w:sz w:val="22"/>
          <w:szCs w:val="22"/>
        </w:rPr>
      </w:pPr>
      <w:r w:rsidRPr="00077D1D">
        <w:rPr>
          <w:sz w:val="22"/>
          <w:szCs w:val="22"/>
        </w:rPr>
        <w:t>Promote evidence-informed adult teaching practices (ako pakeke)</w:t>
      </w:r>
    </w:p>
    <w:p w14:paraId="2269A76D" w14:textId="77777777" w:rsidR="00077D1D" w:rsidRPr="00077D1D" w:rsidRDefault="00077D1D" w:rsidP="009C538F">
      <w:pPr>
        <w:numPr>
          <w:ilvl w:val="0"/>
          <w:numId w:val="3"/>
        </w:numPr>
        <w:spacing w:after="0"/>
        <w:rPr>
          <w:sz w:val="22"/>
          <w:szCs w:val="22"/>
        </w:rPr>
      </w:pPr>
      <w:r w:rsidRPr="00077D1D">
        <w:rPr>
          <w:sz w:val="22"/>
          <w:szCs w:val="22"/>
        </w:rPr>
        <w:t>Ensure programmes reflect applied, practice-based learning aligned with professional contexts</w:t>
      </w:r>
    </w:p>
    <w:p w14:paraId="4A48D857" w14:textId="77777777" w:rsidR="00077D1D" w:rsidRPr="00077D1D" w:rsidRDefault="00077D1D" w:rsidP="009C538F">
      <w:pPr>
        <w:numPr>
          <w:ilvl w:val="0"/>
          <w:numId w:val="3"/>
        </w:numPr>
        <w:spacing w:after="0"/>
        <w:rPr>
          <w:sz w:val="22"/>
          <w:szCs w:val="22"/>
        </w:rPr>
      </w:pPr>
      <w:r w:rsidRPr="00077D1D">
        <w:rPr>
          <w:sz w:val="22"/>
          <w:szCs w:val="22"/>
        </w:rPr>
        <w:t>Support kaiako to design and deliver engaging and culturally responsive learning experiences</w:t>
      </w:r>
    </w:p>
    <w:p w14:paraId="67A04FFA" w14:textId="77777777" w:rsidR="00077D1D" w:rsidRPr="00077D1D" w:rsidRDefault="00077D1D" w:rsidP="009C538F">
      <w:pPr>
        <w:numPr>
          <w:ilvl w:val="0"/>
          <w:numId w:val="3"/>
        </w:numPr>
        <w:spacing w:after="0"/>
        <w:rPr>
          <w:sz w:val="22"/>
          <w:szCs w:val="22"/>
        </w:rPr>
      </w:pPr>
      <w:r w:rsidRPr="00077D1D">
        <w:rPr>
          <w:sz w:val="22"/>
          <w:szCs w:val="22"/>
        </w:rPr>
        <w:t>Embed principles of Te Tiriti o Waitangi within teaching practice</w:t>
      </w:r>
    </w:p>
    <w:p w14:paraId="5D80AAF7" w14:textId="2B03A6C5" w:rsidR="009C538F" w:rsidRDefault="009C538F" w:rsidP="009C538F">
      <w:pPr>
        <w:spacing w:after="0"/>
        <w:rPr>
          <w:sz w:val="22"/>
          <w:szCs w:val="22"/>
        </w:rPr>
      </w:pPr>
    </w:p>
    <w:p w14:paraId="10BF11BB" w14:textId="77777777" w:rsidR="00B80E40" w:rsidRDefault="00B80E40" w:rsidP="009C538F">
      <w:pPr>
        <w:spacing w:after="0"/>
        <w:rPr>
          <w:sz w:val="22"/>
          <w:szCs w:val="22"/>
        </w:rPr>
      </w:pPr>
    </w:p>
    <w:p w14:paraId="68738160" w14:textId="77777777" w:rsidR="00B80E40" w:rsidRDefault="00B80E40" w:rsidP="009C538F">
      <w:pPr>
        <w:spacing w:after="0"/>
        <w:rPr>
          <w:sz w:val="22"/>
          <w:szCs w:val="22"/>
        </w:rPr>
      </w:pPr>
    </w:p>
    <w:p w14:paraId="36DE6F54" w14:textId="77777777" w:rsidR="00B80E40" w:rsidRPr="00077D1D" w:rsidRDefault="00B80E40" w:rsidP="009C538F">
      <w:pPr>
        <w:spacing w:after="0"/>
        <w:rPr>
          <w:sz w:val="22"/>
          <w:szCs w:val="22"/>
        </w:rPr>
      </w:pPr>
    </w:p>
    <w:p w14:paraId="22383A1D" w14:textId="77777777" w:rsidR="00077D1D" w:rsidRPr="00077D1D" w:rsidRDefault="00077D1D" w:rsidP="009C538F">
      <w:pPr>
        <w:spacing w:after="0"/>
        <w:rPr>
          <w:b/>
          <w:bCs/>
          <w:sz w:val="22"/>
          <w:szCs w:val="22"/>
        </w:rPr>
      </w:pPr>
      <w:r w:rsidRPr="00077D1D">
        <w:rPr>
          <w:b/>
          <w:bCs/>
          <w:sz w:val="22"/>
          <w:szCs w:val="22"/>
        </w:rPr>
        <w:lastRenderedPageBreak/>
        <w:t>4. Academic Quality and Assessment Integrity (Te Kounga me te Pono Aromatawai)</w:t>
      </w:r>
    </w:p>
    <w:p w14:paraId="621A25CD" w14:textId="77777777" w:rsidR="00077D1D" w:rsidRPr="00077D1D" w:rsidRDefault="00077D1D" w:rsidP="009C538F">
      <w:pPr>
        <w:numPr>
          <w:ilvl w:val="0"/>
          <w:numId w:val="4"/>
        </w:numPr>
        <w:spacing w:after="0"/>
        <w:rPr>
          <w:sz w:val="22"/>
          <w:szCs w:val="22"/>
        </w:rPr>
      </w:pPr>
      <w:r w:rsidRPr="00077D1D">
        <w:rPr>
          <w:sz w:val="22"/>
          <w:szCs w:val="22"/>
        </w:rPr>
        <w:t>Work in partnership with Academic Quality and Registry functions</w:t>
      </w:r>
    </w:p>
    <w:p w14:paraId="20291D50" w14:textId="77777777" w:rsidR="00077D1D" w:rsidRPr="00077D1D" w:rsidRDefault="00077D1D" w:rsidP="009C538F">
      <w:pPr>
        <w:numPr>
          <w:ilvl w:val="0"/>
          <w:numId w:val="4"/>
        </w:numPr>
        <w:spacing w:after="0"/>
        <w:rPr>
          <w:sz w:val="22"/>
          <w:szCs w:val="22"/>
        </w:rPr>
      </w:pPr>
      <w:r w:rsidRPr="00077D1D">
        <w:rPr>
          <w:sz w:val="22"/>
          <w:szCs w:val="22"/>
        </w:rPr>
        <w:t>Ensure compliance with NZQA programme approval and accreditation requirements</w:t>
      </w:r>
    </w:p>
    <w:p w14:paraId="645658DB" w14:textId="77777777" w:rsidR="00077D1D" w:rsidRPr="00077D1D" w:rsidRDefault="00077D1D" w:rsidP="009C538F">
      <w:pPr>
        <w:numPr>
          <w:ilvl w:val="0"/>
          <w:numId w:val="4"/>
        </w:numPr>
        <w:spacing w:after="0"/>
        <w:rPr>
          <w:sz w:val="22"/>
          <w:szCs w:val="22"/>
        </w:rPr>
      </w:pPr>
      <w:r w:rsidRPr="00077D1D">
        <w:rPr>
          <w:sz w:val="22"/>
          <w:szCs w:val="22"/>
        </w:rPr>
        <w:t>Oversee internal and external moderation processes</w:t>
      </w:r>
    </w:p>
    <w:p w14:paraId="5F9BBEBF" w14:textId="77777777" w:rsidR="00077D1D" w:rsidRPr="00077D1D" w:rsidRDefault="00077D1D" w:rsidP="009C538F">
      <w:pPr>
        <w:numPr>
          <w:ilvl w:val="0"/>
          <w:numId w:val="4"/>
        </w:numPr>
        <w:spacing w:after="0"/>
        <w:rPr>
          <w:sz w:val="22"/>
          <w:szCs w:val="22"/>
        </w:rPr>
      </w:pPr>
      <w:r w:rsidRPr="00077D1D">
        <w:rPr>
          <w:sz w:val="22"/>
          <w:szCs w:val="22"/>
        </w:rPr>
        <w:t>Strengthen consistency in assessment design, marking, and feedback practices</w:t>
      </w:r>
    </w:p>
    <w:p w14:paraId="74F18285" w14:textId="77777777" w:rsidR="00077D1D" w:rsidRPr="00077D1D" w:rsidRDefault="00077D1D" w:rsidP="009C538F">
      <w:pPr>
        <w:numPr>
          <w:ilvl w:val="0"/>
          <w:numId w:val="4"/>
        </w:numPr>
        <w:spacing w:after="0"/>
        <w:rPr>
          <w:sz w:val="22"/>
          <w:szCs w:val="22"/>
        </w:rPr>
      </w:pPr>
      <w:r w:rsidRPr="00077D1D">
        <w:rPr>
          <w:sz w:val="22"/>
          <w:szCs w:val="22"/>
        </w:rPr>
        <w:t>Ensure assessment practices demonstrate validity, reliability, and fairness</w:t>
      </w:r>
    </w:p>
    <w:p w14:paraId="7029200D" w14:textId="0D690B51" w:rsidR="00077D1D" w:rsidRPr="00077D1D" w:rsidRDefault="009C538F" w:rsidP="009C538F">
      <w:pPr>
        <w:spacing w:after="0"/>
        <w:rPr>
          <w:sz w:val="22"/>
          <w:szCs w:val="22"/>
        </w:rPr>
      </w:pPr>
      <w:r>
        <w:rPr>
          <w:sz w:val="22"/>
          <w:szCs w:val="22"/>
        </w:rPr>
        <w:t xml:space="preserve"> </w:t>
      </w:r>
    </w:p>
    <w:p w14:paraId="74BF76C0" w14:textId="77777777" w:rsidR="00077D1D" w:rsidRPr="00077D1D" w:rsidRDefault="00077D1D" w:rsidP="009C538F">
      <w:pPr>
        <w:spacing w:after="0"/>
        <w:rPr>
          <w:b/>
          <w:bCs/>
          <w:sz w:val="22"/>
          <w:szCs w:val="22"/>
        </w:rPr>
      </w:pPr>
      <w:r w:rsidRPr="00077D1D">
        <w:rPr>
          <w:b/>
          <w:bCs/>
          <w:sz w:val="22"/>
          <w:szCs w:val="22"/>
        </w:rPr>
        <w:t>5. Academic Capability Development (Whakawhanaketanga Kaimahi Ako)</w:t>
      </w:r>
    </w:p>
    <w:p w14:paraId="703B9078" w14:textId="77777777" w:rsidR="00077D1D" w:rsidRPr="00077D1D" w:rsidRDefault="00077D1D" w:rsidP="009C538F">
      <w:pPr>
        <w:numPr>
          <w:ilvl w:val="0"/>
          <w:numId w:val="5"/>
        </w:numPr>
        <w:spacing w:after="0"/>
        <w:rPr>
          <w:sz w:val="22"/>
          <w:szCs w:val="22"/>
        </w:rPr>
      </w:pPr>
      <w:r w:rsidRPr="00077D1D">
        <w:rPr>
          <w:sz w:val="22"/>
          <w:szCs w:val="22"/>
        </w:rPr>
        <w:t>Lead the development of teaching capability across NZTC</w:t>
      </w:r>
    </w:p>
    <w:p w14:paraId="38223B03" w14:textId="501925B0" w:rsidR="00077D1D" w:rsidRPr="00077D1D" w:rsidRDefault="00077D1D" w:rsidP="009C538F">
      <w:pPr>
        <w:numPr>
          <w:ilvl w:val="0"/>
          <w:numId w:val="5"/>
        </w:numPr>
        <w:spacing w:after="0"/>
        <w:rPr>
          <w:sz w:val="22"/>
          <w:szCs w:val="22"/>
        </w:rPr>
      </w:pPr>
      <w:r w:rsidRPr="00077D1D">
        <w:rPr>
          <w:sz w:val="22"/>
          <w:szCs w:val="22"/>
        </w:rPr>
        <w:t>Oversee onboarding, mentoring,</w:t>
      </w:r>
      <w:r w:rsidR="00787BF6">
        <w:rPr>
          <w:sz w:val="22"/>
          <w:szCs w:val="22"/>
        </w:rPr>
        <w:t xml:space="preserve"> professional </w:t>
      </w:r>
      <w:r w:rsidR="00B17E1C">
        <w:rPr>
          <w:sz w:val="22"/>
          <w:szCs w:val="22"/>
        </w:rPr>
        <w:t>teaching cycle</w:t>
      </w:r>
      <w:r w:rsidRPr="00077D1D">
        <w:rPr>
          <w:sz w:val="22"/>
          <w:szCs w:val="22"/>
        </w:rPr>
        <w:t xml:space="preserve"> and professional development for kaiako</w:t>
      </w:r>
    </w:p>
    <w:p w14:paraId="143EBFD4" w14:textId="77777777" w:rsidR="00077D1D" w:rsidRPr="00077D1D" w:rsidRDefault="00077D1D" w:rsidP="009C538F">
      <w:pPr>
        <w:numPr>
          <w:ilvl w:val="0"/>
          <w:numId w:val="5"/>
        </w:numPr>
        <w:spacing w:after="0"/>
        <w:rPr>
          <w:sz w:val="22"/>
          <w:szCs w:val="22"/>
        </w:rPr>
      </w:pPr>
      <w:r w:rsidRPr="00077D1D">
        <w:rPr>
          <w:sz w:val="22"/>
          <w:szCs w:val="22"/>
        </w:rPr>
        <w:t>Implement teaching observations and reflective practice processes</w:t>
      </w:r>
    </w:p>
    <w:p w14:paraId="4651E468" w14:textId="77777777" w:rsidR="00077D1D" w:rsidRPr="00077D1D" w:rsidRDefault="00077D1D" w:rsidP="009C538F">
      <w:pPr>
        <w:numPr>
          <w:ilvl w:val="0"/>
          <w:numId w:val="5"/>
        </w:numPr>
        <w:spacing w:after="0"/>
        <w:rPr>
          <w:sz w:val="22"/>
          <w:szCs w:val="22"/>
        </w:rPr>
      </w:pPr>
      <w:r w:rsidRPr="00077D1D">
        <w:rPr>
          <w:sz w:val="22"/>
          <w:szCs w:val="22"/>
        </w:rPr>
        <w:t>Promote ongoing development in assessment design and culturally responsive pedagogy</w:t>
      </w:r>
    </w:p>
    <w:p w14:paraId="4EB4530E" w14:textId="231F1E50" w:rsidR="00077D1D" w:rsidRPr="00077D1D" w:rsidRDefault="009C538F" w:rsidP="009C538F">
      <w:pPr>
        <w:spacing w:after="0"/>
        <w:rPr>
          <w:sz w:val="22"/>
          <w:szCs w:val="22"/>
        </w:rPr>
      </w:pPr>
      <w:r>
        <w:rPr>
          <w:sz w:val="22"/>
          <w:szCs w:val="22"/>
        </w:rPr>
        <w:t xml:space="preserve"> </w:t>
      </w:r>
    </w:p>
    <w:p w14:paraId="76E321CA" w14:textId="77777777" w:rsidR="00077D1D" w:rsidRPr="00077D1D" w:rsidRDefault="00077D1D" w:rsidP="009C538F">
      <w:pPr>
        <w:spacing w:after="0"/>
        <w:rPr>
          <w:b/>
          <w:bCs/>
          <w:sz w:val="22"/>
          <w:szCs w:val="22"/>
        </w:rPr>
      </w:pPr>
      <w:r w:rsidRPr="00077D1D">
        <w:rPr>
          <w:b/>
          <w:bCs/>
          <w:sz w:val="22"/>
          <w:szCs w:val="22"/>
        </w:rPr>
        <w:t>6. Learner Success and Outcomes (Angitu Tauira)</w:t>
      </w:r>
    </w:p>
    <w:p w14:paraId="02943D32" w14:textId="77777777" w:rsidR="00077D1D" w:rsidRPr="00077D1D" w:rsidRDefault="00077D1D" w:rsidP="009C538F">
      <w:pPr>
        <w:numPr>
          <w:ilvl w:val="0"/>
          <w:numId w:val="6"/>
        </w:numPr>
        <w:spacing w:after="0"/>
        <w:rPr>
          <w:sz w:val="22"/>
          <w:szCs w:val="22"/>
        </w:rPr>
      </w:pPr>
      <w:r w:rsidRPr="00077D1D">
        <w:rPr>
          <w:sz w:val="22"/>
          <w:szCs w:val="22"/>
        </w:rPr>
        <w:t>Monitor and improve key educational performance indicators, including:</w:t>
      </w:r>
    </w:p>
    <w:p w14:paraId="0BFC4F8E" w14:textId="77777777" w:rsidR="00077D1D" w:rsidRPr="00077D1D" w:rsidRDefault="00077D1D" w:rsidP="009C538F">
      <w:pPr>
        <w:numPr>
          <w:ilvl w:val="1"/>
          <w:numId w:val="6"/>
        </w:numPr>
        <w:spacing w:after="0"/>
        <w:rPr>
          <w:sz w:val="22"/>
          <w:szCs w:val="22"/>
        </w:rPr>
      </w:pPr>
      <w:r w:rsidRPr="00077D1D">
        <w:rPr>
          <w:sz w:val="22"/>
          <w:szCs w:val="22"/>
        </w:rPr>
        <w:t>Retention (whakamau tauira)</w:t>
      </w:r>
    </w:p>
    <w:p w14:paraId="6984AA64" w14:textId="77777777" w:rsidR="00077D1D" w:rsidRPr="00077D1D" w:rsidRDefault="00077D1D" w:rsidP="009C538F">
      <w:pPr>
        <w:numPr>
          <w:ilvl w:val="1"/>
          <w:numId w:val="6"/>
        </w:numPr>
        <w:spacing w:after="0"/>
        <w:rPr>
          <w:sz w:val="22"/>
          <w:szCs w:val="22"/>
        </w:rPr>
      </w:pPr>
      <w:r w:rsidRPr="00077D1D">
        <w:rPr>
          <w:sz w:val="22"/>
          <w:szCs w:val="22"/>
        </w:rPr>
        <w:t>Course and programme completion</w:t>
      </w:r>
    </w:p>
    <w:p w14:paraId="2189AAD1" w14:textId="77777777" w:rsidR="00077D1D" w:rsidRPr="00077D1D" w:rsidRDefault="00077D1D" w:rsidP="009C538F">
      <w:pPr>
        <w:numPr>
          <w:ilvl w:val="1"/>
          <w:numId w:val="6"/>
        </w:numPr>
        <w:spacing w:after="0"/>
        <w:rPr>
          <w:sz w:val="22"/>
          <w:szCs w:val="22"/>
        </w:rPr>
      </w:pPr>
      <w:r w:rsidRPr="00077D1D">
        <w:rPr>
          <w:sz w:val="22"/>
          <w:szCs w:val="22"/>
        </w:rPr>
        <w:t>Assessment turnaround times</w:t>
      </w:r>
    </w:p>
    <w:p w14:paraId="396ADF14" w14:textId="77777777" w:rsidR="00077D1D" w:rsidRPr="00077D1D" w:rsidRDefault="00077D1D" w:rsidP="009C538F">
      <w:pPr>
        <w:numPr>
          <w:ilvl w:val="1"/>
          <w:numId w:val="6"/>
        </w:numPr>
        <w:spacing w:after="0"/>
        <w:rPr>
          <w:sz w:val="22"/>
          <w:szCs w:val="22"/>
        </w:rPr>
      </w:pPr>
      <w:r w:rsidRPr="00077D1D">
        <w:rPr>
          <w:sz w:val="22"/>
          <w:szCs w:val="22"/>
        </w:rPr>
        <w:t>Tauira satisfaction and engagement</w:t>
      </w:r>
    </w:p>
    <w:p w14:paraId="53FCE339" w14:textId="77777777" w:rsidR="00077D1D" w:rsidRPr="00077D1D" w:rsidRDefault="00077D1D" w:rsidP="009C538F">
      <w:pPr>
        <w:numPr>
          <w:ilvl w:val="0"/>
          <w:numId w:val="6"/>
        </w:numPr>
        <w:spacing w:after="0"/>
        <w:rPr>
          <w:sz w:val="22"/>
          <w:szCs w:val="22"/>
        </w:rPr>
      </w:pPr>
      <w:r w:rsidRPr="00077D1D">
        <w:rPr>
          <w:sz w:val="22"/>
          <w:szCs w:val="22"/>
        </w:rPr>
        <w:t>Ensure equitable outcomes for diverse learner groups, including Māori and Pacific learners</w:t>
      </w:r>
    </w:p>
    <w:p w14:paraId="27A5DD32" w14:textId="3879BD19" w:rsidR="00077D1D" w:rsidRPr="00077D1D" w:rsidRDefault="009C538F" w:rsidP="009C538F">
      <w:pPr>
        <w:spacing w:after="0"/>
        <w:rPr>
          <w:sz w:val="22"/>
          <w:szCs w:val="22"/>
        </w:rPr>
      </w:pPr>
      <w:r>
        <w:rPr>
          <w:sz w:val="22"/>
          <w:szCs w:val="22"/>
        </w:rPr>
        <w:t xml:space="preserve"> </w:t>
      </w:r>
    </w:p>
    <w:p w14:paraId="212398B0" w14:textId="77777777" w:rsidR="00077D1D" w:rsidRPr="00077D1D" w:rsidRDefault="00077D1D" w:rsidP="009C538F">
      <w:pPr>
        <w:spacing w:after="0"/>
        <w:rPr>
          <w:b/>
          <w:bCs/>
          <w:sz w:val="22"/>
          <w:szCs w:val="22"/>
        </w:rPr>
      </w:pPr>
      <w:r w:rsidRPr="00077D1D">
        <w:rPr>
          <w:b/>
          <w:bCs/>
          <w:sz w:val="22"/>
          <w:szCs w:val="22"/>
        </w:rPr>
        <w:t>7. Change Leadership (Arataki Panonitanga)</w:t>
      </w:r>
    </w:p>
    <w:p w14:paraId="6DA56363" w14:textId="77777777" w:rsidR="00077D1D" w:rsidRPr="00077D1D" w:rsidRDefault="00077D1D" w:rsidP="009C538F">
      <w:pPr>
        <w:numPr>
          <w:ilvl w:val="0"/>
          <w:numId w:val="7"/>
        </w:numPr>
        <w:spacing w:after="0"/>
        <w:rPr>
          <w:sz w:val="22"/>
          <w:szCs w:val="22"/>
        </w:rPr>
      </w:pPr>
      <w:r w:rsidRPr="00077D1D">
        <w:rPr>
          <w:sz w:val="22"/>
          <w:szCs w:val="22"/>
        </w:rPr>
        <w:t>Lead academic staff through organisational and delivery transformation</w:t>
      </w:r>
    </w:p>
    <w:p w14:paraId="7CE2C9CB" w14:textId="77777777" w:rsidR="00077D1D" w:rsidRPr="00077D1D" w:rsidRDefault="00077D1D" w:rsidP="009C538F">
      <w:pPr>
        <w:numPr>
          <w:ilvl w:val="0"/>
          <w:numId w:val="7"/>
        </w:numPr>
        <w:spacing w:after="0"/>
        <w:rPr>
          <w:sz w:val="22"/>
          <w:szCs w:val="22"/>
        </w:rPr>
      </w:pPr>
      <w:r w:rsidRPr="00077D1D">
        <w:rPr>
          <w:sz w:val="22"/>
          <w:szCs w:val="22"/>
        </w:rPr>
        <w:t>Communicate strategic direction clearly and effectively</w:t>
      </w:r>
    </w:p>
    <w:p w14:paraId="23646244" w14:textId="77777777" w:rsidR="00077D1D" w:rsidRPr="00077D1D" w:rsidRDefault="00077D1D" w:rsidP="009C538F">
      <w:pPr>
        <w:numPr>
          <w:ilvl w:val="0"/>
          <w:numId w:val="7"/>
        </w:numPr>
        <w:spacing w:after="0"/>
        <w:rPr>
          <w:sz w:val="22"/>
          <w:szCs w:val="22"/>
        </w:rPr>
      </w:pPr>
      <w:r w:rsidRPr="00077D1D">
        <w:rPr>
          <w:sz w:val="22"/>
          <w:szCs w:val="22"/>
        </w:rPr>
        <w:t>Support staff through change with a focus on capability, wellbeing, and engagement</w:t>
      </w:r>
    </w:p>
    <w:p w14:paraId="5D1A855F" w14:textId="77777777" w:rsidR="00077D1D" w:rsidRPr="00077D1D" w:rsidRDefault="00077D1D" w:rsidP="009C538F">
      <w:pPr>
        <w:numPr>
          <w:ilvl w:val="0"/>
          <w:numId w:val="7"/>
        </w:numPr>
        <w:spacing w:after="0"/>
        <w:rPr>
          <w:sz w:val="22"/>
          <w:szCs w:val="22"/>
        </w:rPr>
      </w:pPr>
      <w:r w:rsidRPr="00077D1D">
        <w:rPr>
          <w:sz w:val="22"/>
          <w:szCs w:val="22"/>
        </w:rPr>
        <w:t>Ensure successful implementation and embedding of new delivery models</w:t>
      </w:r>
    </w:p>
    <w:p w14:paraId="5D7B6FF7" w14:textId="76A82147" w:rsidR="00077D1D" w:rsidRPr="00077D1D" w:rsidRDefault="009C538F" w:rsidP="009C538F">
      <w:pPr>
        <w:spacing w:after="0"/>
        <w:rPr>
          <w:sz w:val="22"/>
          <w:szCs w:val="22"/>
        </w:rPr>
      </w:pPr>
      <w:r>
        <w:rPr>
          <w:sz w:val="22"/>
          <w:szCs w:val="22"/>
        </w:rPr>
        <w:t xml:space="preserve"> </w:t>
      </w:r>
    </w:p>
    <w:p w14:paraId="63834A7E" w14:textId="77777777" w:rsidR="00077D1D" w:rsidRPr="00077D1D" w:rsidRDefault="00077D1D" w:rsidP="009C538F">
      <w:pPr>
        <w:spacing w:after="0"/>
        <w:rPr>
          <w:b/>
          <w:bCs/>
          <w:sz w:val="22"/>
          <w:szCs w:val="22"/>
        </w:rPr>
      </w:pPr>
      <w:r w:rsidRPr="00077D1D">
        <w:rPr>
          <w:b/>
          <w:bCs/>
          <w:sz w:val="22"/>
          <w:szCs w:val="22"/>
        </w:rPr>
        <w:t>Key Relationships (Ngā Hononga Matua)</w:t>
      </w:r>
    </w:p>
    <w:p w14:paraId="3ECDB5F7" w14:textId="09239DCE" w:rsidR="00077D1D" w:rsidRPr="00077D1D" w:rsidRDefault="00077D1D" w:rsidP="009C538F">
      <w:pPr>
        <w:numPr>
          <w:ilvl w:val="0"/>
          <w:numId w:val="8"/>
        </w:numPr>
        <w:spacing w:after="0"/>
        <w:rPr>
          <w:sz w:val="22"/>
          <w:szCs w:val="22"/>
        </w:rPr>
      </w:pPr>
      <w:r w:rsidRPr="00077D1D">
        <w:rPr>
          <w:sz w:val="22"/>
          <w:szCs w:val="22"/>
        </w:rPr>
        <w:t>Academic D</w:t>
      </w:r>
      <w:r w:rsidR="009C538F">
        <w:rPr>
          <w:sz w:val="22"/>
          <w:szCs w:val="22"/>
        </w:rPr>
        <w:t>ean</w:t>
      </w:r>
      <w:r w:rsidRPr="00077D1D">
        <w:rPr>
          <w:sz w:val="22"/>
          <w:szCs w:val="22"/>
        </w:rPr>
        <w:t xml:space="preserve"> / Executive Leadership Team</w:t>
      </w:r>
    </w:p>
    <w:p w14:paraId="74CA97AC" w14:textId="77777777" w:rsidR="00077D1D" w:rsidRPr="00077D1D" w:rsidRDefault="00077D1D" w:rsidP="009C538F">
      <w:pPr>
        <w:numPr>
          <w:ilvl w:val="0"/>
          <w:numId w:val="8"/>
        </w:numPr>
        <w:spacing w:after="0"/>
        <w:rPr>
          <w:sz w:val="22"/>
          <w:szCs w:val="22"/>
        </w:rPr>
      </w:pPr>
      <w:r w:rsidRPr="00077D1D">
        <w:rPr>
          <w:sz w:val="22"/>
          <w:szCs w:val="22"/>
        </w:rPr>
        <w:t>Programme Leaders (Kaihautū Hōtaka)</w:t>
      </w:r>
    </w:p>
    <w:p w14:paraId="1B29A49D" w14:textId="77777777" w:rsidR="00077D1D" w:rsidRPr="00077D1D" w:rsidRDefault="00077D1D" w:rsidP="009C538F">
      <w:pPr>
        <w:numPr>
          <w:ilvl w:val="0"/>
          <w:numId w:val="8"/>
        </w:numPr>
        <w:spacing w:after="0"/>
        <w:rPr>
          <w:sz w:val="22"/>
          <w:szCs w:val="22"/>
        </w:rPr>
      </w:pPr>
      <w:r w:rsidRPr="00077D1D">
        <w:rPr>
          <w:sz w:val="22"/>
          <w:szCs w:val="22"/>
        </w:rPr>
        <w:t>Academic Quality and Registry teams</w:t>
      </w:r>
    </w:p>
    <w:p w14:paraId="279CC9B8" w14:textId="77777777" w:rsidR="00077D1D" w:rsidRDefault="00077D1D" w:rsidP="009C538F">
      <w:pPr>
        <w:numPr>
          <w:ilvl w:val="0"/>
          <w:numId w:val="8"/>
        </w:numPr>
        <w:spacing w:after="0"/>
        <w:rPr>
          <w:sz w:val="22"/>
          <w:szCs w:val="22"/>
        </w:rPr>
      </w:pPr>
      <w:r w:rsidRPr="00077D1D">
        <w:rPr>
          <w:sz w:val="22"/>
          <w:szCs w:val="22"/>
        </w:rPr>
        <w:t>Kaiako (Lecturers) and Visiting Lecturers</w:t>
      </w:r>
    </w:p>
    <w:p w14:paraId="0B0B0E2A" w14:textId="43FC38DF" w:rsidR="009C538F" w:rsidRPr="00077D1D" w:rsidRDefault="009C538F" w:rsidP="009C538F">
      <w:pPr>
        <w:numPr>
          <w:ilvl w:val="0"/>
          <w:numId w:val="8"/>
        </w:numPr>
        <w:spacing w:after="0"/>
        <w:rPr>
          <w:sz w:val="22"/>
          <w:szCs w:val="22"/>
        </w:rPr>
      </w:pPr>
      <w:r>
        <w:rPr>
          <w:sz w:val="22"/>
          <w:szCs w:val="22"/>
        </w:rPr>
        <w:t>Independent Contractors for Marking and Practicum Assessment</w:t>
      </w:r>
    </w:p>
    <w:p w14:paraId="44F3518A" w14:textId="77777777" w:rsidR="00077D1D" w:rsidRPr="00077D1D" w:rsidRDefault="00077D1D" w:rsidP="009C538F">
      <w:pPr>
        <w:numPr>
          <w:ilvl w:val="0"/>
          <w:numId w:val="8"/>
        </w:numPr>
        <w:spacing w:after="0"/>
        <w:rPr>
          <w:sz w:val="22"/>
          <w:szCs w:val="22"/>
        </w:rPr>
      </w:pPr>
      <w:r w:rsidRPr="00077D1D">
        <w:rPr>
          <w:sz w:val="22"/>
          <w:szCs w:val="22"/>
        </w:rPr>
        <w:t>Student Success and Support Services</w:t>
      </w:r>
    </w:p>
    <w:p w14:paraId="458BEFBA" w14:textId="77777777" w:rsidR="00077D1D" w:rsidRPr="00077D1D" w:rsidRDefault="00077D1D" w:rsidP="009C538F">
      <w:pPr>
        <w:numPr>
          <w:ilvl w:val="0"/>
          <w:numId w:val="8"/>
        </w:numPr>
        <w:spacing w:after="0"/>
        <w:rPr>
          <w:sz w:val="22"/>
          <w:szCs w:val="22"/>
        </w:rPr>
      </w:pPr>
      <w:r w:rsidRPr="00077D1D">
        <w:rPr>
          <w:sz w:val="22"/>
          <w:szCs w:val="22"/>
        </w:rPr>
        <w:t>External stakeholders, including NZQA and sector partners</w:t>
      </w:r>
    </w:p>
    <w:p w14:paraId="24788F2F" w14:textId="3857890E" w:rsidR="00077D1D" w:rsidRDefault="009C538F" w:rsidP="00B80E40">
      <w:pPr>
        <w:tabs>
          <w:tab w:val="left" w:pos="3557"/>
        </w:tabs>
        <w:spacing w:after="0"/>
        <w:rPr>
          <w:sz w:val="22"/>
          <w:szCs w:val="22"/>
        </w:rPr>
      </w:pPr>
      <w:r>
        <w:rPr>
          <w:sz w:val="22"/>
          <w:szCs w:val="22"/>
        </w:rPr>
        <w:t xml:space="preserve"> </w:t>
      </w:r>
      <w:r w:rsidR="00B80E40">
        <w:rPr>
          <w:sz w:val="22"/>
          <w:szCs w:val="22"/>
        </w:rPr>
        <w:tab/>
      </w:r>
    </w:p>
    <w:p w14:paraId="3BB73AAC" w14:textId="54BE4BDA" w:rsidR="00077D1D" w:rsidRPr="00077D1D" w:rsidRDefault="00077D1D" w:rsidP="009C538F">
      <w:pPr>
        <w:spacing w:after="0"/>
        <w:rPr>
          <w:sz w:val="22"/>
          <w:szCs w:val="22"/>
        </w:rPr>
      </w:pPr>
    </w:p>
    <w:p w14:paraId="70CE5C37" w14:textId="0B2C87CE" w:rsidR="00F47803" w:rsidRPr="009C538F" w:rsidRDefault="009C538F" w:rsidP="009C538F">
      <w:pPr>
        <w:spacing w:after="0"/>
        <w:rPr>
          <w:sz w:val="22"/>
          <w:szCs w:val="22"/>
        </w:rPr>
      </w:pPr>
      <w:r>
        <w:rPr>
          <w:sz w:val="22"/>
          <w:szCs w:val="22"/>
        </w:rPr>
        <w:t xml:space="preserve"> </w:t>
      </w:r>
    </w:p>
    <w:sectPr w:rsidR="00F47803" w:rsidRPr="009C5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0A3"/>
    <w:multiLevelType w:val="multilevel"/>
    <w:tmpl w:val="6948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0E08"/>
    <w:multiLevelType w:val="multilevel"/>
    <w:tmpl w:val="E1947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204A"/>
    <w:multiLevelType w:val="multilevel"/>
    <w:tmpl w:val="EB54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C0522"/>
    <w:multiLevelType w:val="multilevel"/>
    <w:tmpl w:val="11F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66B55"/>
    <w:multiLevelType w:val="multilevel"/>
    <w:tmpl w:val="E4C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2656D"/>
    <w:multiLevelType w:val="multilevel"/>
    <w:tmpl w:val="A6B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E2EBF"/>
    <w:multiLevelType w:val="multilevel"/>
    <w:tmpl w:val="0F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571D74"/>
    <w:multiLevelType w:val="multilevel"/>
    <w:tmpl w:val="5E0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867AB"/>
    <w:multiLevelType w:val="multilevel"/>
    <w:tmpl w:val="BE6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53785"/>
    <w:multiLevelType w:val="multilevel"/>
    <w:tmpl w:val="3C5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A1A78"/>
    <w:multiLevelType w:val="multilevel"/>
    <w:tmpl w:val="581A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B789F"/>
    <w:multiLevelType w:val="multilevel"/>
    <w:tmpl w:val="97B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281275">
    <w:abstractNumId w:val="0"/>
  </w:num>
  <w:num w:numId="2" w16cid:durableId="1992831279">
    <w:abstractNumId w:val="9"/>
  </w:num>
  <w:num w:numId="3" w16cid:durableId="2109496767">
    <w:abstractNumId w:val="4"/>
  </w:num>
  <w:num w:numId="4" w16cid:durableId="1622420514">
    <w:abstractNumId w:val="7"/>
  </w:num>
  <w:num w:numId="5" w16cid:durableId="857502203">
    <w:abstractNumId w:val="8"/>
  </w:num>
  <w:num w:numId="6" w16cid:durableId="462313748">
    <w:abstractNumId w:val="1"/>
  </w:num>
  <w:num w:numId="7" w16cid:durableId="556479093">
    <w:abstractNumId w:val="2"/>
  </w:num>
  <w:num w:numId="8" w16cid:durableId="1422139146">
    <w:abstractNumId w:val="10"/>
  </w:num>
  <w:num w:numId="9" w16cid:durableId="1046181236">
    <w:abstractNumId w:val="11"/>
  </w:num>
  <w:num w:numId="10" w16cid:durableId="1416392735">
    <w:abstractNumId w:val="5"/>
  </w:num>
  <w:num w:numId="11" w16cid:durableId="982387513">
    <w:abstractNumId w:val="3"/>
  </w:num>
  <w:num w:numId="12" w16cid:durableId="320735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1D"/>
    <w:rsid w:val="00077D1D"/>
    <w:rsid w:val="00261326"/>
    <w:rsid w:val="003605C5"/>
    <w:rsid w:val="004F6A82"/>
    <w:rsid w:val="005271E6"/>
    <w:rsid w:val="005A14FC"/>
    <w:rsid w:val="005B5063"/>
    <w:rsid w:val="005F147F"/>
    <w:rsid w:val="00623C97"/>
    <w:rsid w:val="00787BF6"/>
    <w:rsid w:val="007F12FC"/>
    <w:rsid w:val="009C538F"/>
    <w:rsid w:val="00A36906"/>
    <w:rsid w:val="00B17E1C"/>
    <w:rsid w:val="00B80E40"/>
    <w:rsid w:val="00CF15BD"/>
    <w:rsid w:val="00D61670"/>
    <w:rsid w:val="00D62559"/>
    <w:rsid w:val="00F40212"/>
    <w:rsid w:val="00F478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3BC4"/>
  <w15:chartTrackingRefBased/>
  <w15:docId w15:val="{F035D2E3-75EF-4AA3-98DD-EDF43389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D1D"/>
    <w:rPr>
      <w:rFonts w:eastAsiaTheme="majorEastAsia" w:cstheme="majorBidi"/>
      <w:color w:val="272727" w:themeColor="text1" w:themeTint="D8"/>
    </w:rPr>
  </w:style>
  <w:style w:type="paragraph" w:styleId="Title">
    <w:name w:val="Title"/>
    <w:basedOn w:val="Normal"/>
    <w:next w:val="Normal"/>
    <w:link w:val="TitleChar"/>
    <w:uiPriority w:val="10"/>
    <w:qFormat/>
    <w:rsid w:val="0007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D1D"/>
    <w:pPr>
      <w:spacing w:before="160"/>
      <w:jc w:val="center"/>
    </w:pPr>
    <w:rPr>
      <w:i/>
      <w:iCs/>
      <w:color w:val="404040" w:themeColor="text1" w:themeTint="BF"/>
    </w:rPr>
  </w:style>
  <w:style w:type="character" w:customStyle="1" w:styleId="QuoteChar">
    <w:name w:val="Quote Char"/>
    <w:basedOn w:val="DefaultParagraphFont"/>
    <w:link w:val="Quote"/>
    <w:uiPriority w:val="29"/>
    <w:rsid w:val="00077D1D"/>
    <w:rPr>
      <w:i/>
      <w:iCs/>
      <w:color w:val="404040" w:themeColor="text1" w:themeTint="BF"/>
    </w:rPr>
  </w:style>
  <w:style w:type="paragraph" w:styleId="ListParagraph">
    <w:name w:val="List Paragraph"/>
    <w:basedOn w:val="Normal"/>
    <w:uiPriority w:val="34"/>
    <w:qFormat/>
    <w:rsid w:val="00077D1D"/>
    <w:pPr>
      <w:ind w:left="720"/>
      <w:contextualSpacing/>
    </w:pPr>
  </w:style>
  <w:style w:type="character" w:styleId="IntenseEmphasis">
    <w:name w:val="Intense Emphasis"/>
    <w:basedOn w:val="DefaultParagraphFont"/>
    <w:uiPriority w:val="21"/>
    <w:qFormat/>
    <w:rsid w:val="00077D1D"/>
    <w:rPr>
      <w:i/>
      <w:iCs/>
      <w:color w:val="0F4761" w:themeColor="accent1" w:themeShade="BF"/>
    </w:rPr>
  </w:style>
  <w:style w:type="paragraph" w:styleId="IntenseQuote">
    <w:name w:val="Intense Quote"/>
    <w:basedOn w:val="Normal"/>
    <w:next w:val="Normal"/>
    <w:link w:val="IntenseQuoteChar"/>
    <w:uiPriority w:val="30"/>
    <w:qFormat/>
    <w:rsid w:val="00077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D1D"/>
    <w:rPr>
      <w:i/>
      <w:iCs/>
      <w:color w:val="0F4761" w:themeColor="accent1" w:themeShade="BF"/>
    </w:rPr>
  </w:style>
  <w:style w:type="character" w:styleId="IntenseReference">
    <w:name w:val="Intense Reference"/>
    <w:basedOn w:val="DefaultParagraphFont"/>
    <w:uiPriority w:val="32"/>
    <w:qFormat/>
    <w:rsid w:val="00077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468</Words>
  <Characters>3287</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Ward</dc:creator>
  <cp:keywords/>
  <dc:description/>
  <cp:lastModifiedBy>James Ward</cp:lastModifiedBy>
  <cp:revision>11</cp:revision>
  <dcterms:created xsi:type="dcterms:W3CDTF">2026-03-18T03:17:00Z</dcterms:created>
  <dcterms:modified xsi:type="dcterms:W3CDTF">2026-03-24T23:27:00Z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2026-03-18T03:53:45Z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d2e77bf8-9fe7-4f1d-b7b3-70ed81468710</vt:lpwstr>
  </property>
  <property fmtid="{D5CDD505-2E9C-101B-9397-08002B2CF9AE}" pid="8" name="MSIP_Label_c96ed6d7-747c-41fd-b042-ff14484edc24_ContentBits">
    <vt:lpwstr>0</vt:lpwstr>
  </property>
  <property fmtid="{D5CDD505-2E9C-101B-9397-08002B2CF9AE}" pid="9" name="MSIP_Label_c96ed6d7-747c-41fd-b042-ff14484edc24_Tag">
    <vt:lpwstr>10, 3, 0, 1</vt:lpwstr>
  </property>
</Properties>
</file>