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5"/>
        <w:gridCol w:w="6701"/>
      </w:tblGrid>
      <w:tr w:rsidR="001054FB" w:rsidRPr="002C5CB8" w14:paraId="5D1D030B" w14:textId="77777777" w:rsidTr="006F532E">
        <w:tc>
          <w:tcPr>
            <w:tcW w:w="9242" w:type="dxa"/>
            <w:gridSpan w:val="2"/>
            <w:tcBorders>
              <w:top w:val="single" w:sz="8" w:space="0" w:color="000000"/>
              <w:bottom w:val="single" w:sz="8" w:space="0" w:color="000000"/>
            </w:tcBorders>
            <w:shd w:val="clear" w:color="auto" w:fill="D9D9D9"/>
          </w:tcPr>
          <w:p w14:paraId="0B612DA9"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2A215DEC"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1A306D2A" w14:textId="77777777" w:rsidTr="00DE4AAC">
        <w:trPr>
          <w:trHeight w:val="309"/>
        </w:trPr>
        <w:tc>
          <w:tcPr>
            <w:tcW w:w="2351" w:type="dxa"/>
            <w:tcBorders>
              <w:bottom w:val="single" w:sz="4" w:space="0" w:color="BFBFBF"/>
            </w:tcBorders>
            <w:shd w:val="clear" w:color="auto" w:fill="auto"/>
          </w:tcPr>
          <w:p w14:paraId="3D0AB4CF"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5EC72DAF" w14:textId="77777777" w:rsidR="00241D10" w:rsidRPr="002C5CB8" w:rsidRDefault="00241D10" w:rsidP="002C5CB8">
            <w:pPr>
              <w:pStyle w:val="Quote"/>
              <w:spacing w:after="0" w:line="240" w:lineRule="auto"/>
              <w:rPr>
                <w:rFonts w:cs="Arial"/>
              </w:rPr>
            </w:pPr>
          </w:p>
        </w:tc>
      </w:tr>
      <w:tr w:rsidR="001054FB" w:rsidRPr="00C05DC2" w14:paraId="222B4BB3" w14:textId="77777777" w:rsidTr="006F532E">
        <w:tc>
          <w:tcPr>
            <w:tcW w:w="2351" w:type="dxa"/>
            <w:tcBorders>
              <w:bottom w:val="single" w:sz="4" w:space="0" w:color="BFBFBF"/>
            </w:tcBorders>
            <w:shd w:val="clear" w:color="auto" w:fill="F2F2F2"/>
          </w:tcPr>
          <w:p w14:paraId="4ED8AEE3"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69BA1101" w14:textId="0678B282" w:rsidR="00904A59" w:rsidRPr="00136429" w:rsidRDefault="00E82DFB" w:rsidP="00136429">
            <w:pPr>
              <w:rPr>
                <w:rFonts w:cs="Arial"/>
                <w:bCs/>
              </w:rPr>
            </w:pPr>
            <w:r>
              <w:rPr>
                <w:rFonts w:cs="Arial"/>
                <w:bCs/>
              </w:rPr>
              <w:t xml:space="preserve">Head of </w:t>
            </w:r>
            <w:r w:rsidR="00D97C6D">
              <w:rPr>
                <w:rFonts w:cs="Arial"/>
                <w:bCs/>
              </w:rPr>
              <w:t>Policy and Campaigns</w:t>
            </w:r>
          </w:p>
        </w:tc>
      </w:tr>
      <w:tr w:rsidR="001054FB" w:rsidRPr="00C05DC2" w14:paraId="2C854025" w14:textId="77777777" w:rsidTr="006F532E">
        <w:tc>
          <w:tcPr>
            <w:tcW w:w="2351" w:type="dxa"/>
            <w:tcBorders>
              <w:top w:val="single" w:sz="4" w:space="0" w:color="BFBFBF"/>
              <w:bottom w:val="single" w:sz="4" w:space="0" w:color="BFBFBF"/>
            </w:tcBorders>
            <w:shd w:val="clear" w:color="auto" w:fill="F2F2F2"/>
          </w:tcPr>
          <w:p w14:paraId="7203E0ED"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19D8C834" w14:textId="639D73C6" w:rsidR="001054FB" w:rsidRPr="00C05DC2" w:rsidRDefault="005E1B9E" w:rsidP="002C5CB8">
            <w:pPr>
              <w:pStyle w:val="Quote"/>
              <w:spacing w:after="0" w:line="240" w:lineRule="auto"/>
              <w:rPr>
                <w:rFonts w:cs="Arial"/>
              </w:rPr>
            </w:pPr>
            <w:r>
              <w:rPr>
                <w:rFonts w:cs="Arial"/>
              </w:rPr>
              <w:t>Pear Tree Street</w:t>
            </w:r>
          </w:p>
        </w:tc>
      </w:tr>
      <w:tr w:rsidR="001054FB" w:rsidRPr="00C05DC2" w14:paraId="30C63130" w14:textId="77777777" w:rsidTr="006F532E">
        <w:tc>
          <w:tcPr>
            <w:tcW w:w="2351" w:type="dxa"/>
            <w:tcBorders>
              <w:top w:val="single" w:sz="4" w:space="0" w:color="BFBFBF"/>
              <w:bottom w:val="single" w:sz="4" w:space="0" w:color="BFBFBF"/>
            </w:tcBorders>
            <w:shd w:val="clear" w:color="auto" w:fill="F2F2F2"/>
          </w:tcPr>
          <w:p w14:paraId="0EFA8956"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3C735D11" w14:textId="1875151F" w:rsidR="001054FB" w:rsidRPr="00C05DC2" w:rsidRDefault="005E1B9E" w:rsidP="002C5CB8">
            <w:pPr>
              <w:pStyle w:val="Quote"/>
              <w:spacing w:after="0" w:line="240" w:lineRule="auto"/>
              <w:rPr>
                <w:rFonts w:cs="Arial"/>
              </w:rPr>
            </w:pPr>
            <w:r>
              <w:rPr>
                <w:rFonts w:cs="Arial"/>
              </w:rPr>
              <w:t xml:space="preserve">Full time (37 hours per week) </w:t>
            </w:r>
            <w:r w:rsidR="007875FF">
              <w:rPr>
                <w:rFonts w:cs="Arial"/>
              </w:rPr>
              <w:t xml:space="preserve">– although flexible arrangements such as </w:t>
            </w:r>
            <w:r w:rsidR="00BB059C">
              <w:rPr>
                <w:rFonts w:cs="Arial"/>
              </w:rPr>
              <w:t>4 days a week or compressed hours will be considered</w:t>
            </w:r>
          </w:p>
        </w:tc>
      </w:tr>
      <w:tr w:rsidR="001054FB" w:rsidRPr="00C05DC2" w14:paraId="6EB85C8E" w14:textId="77777777" w:rsidTr="006F532E">
        <w:tc>
          <w:tcPr>
            <w:tcW w:w="2351" w:type="dxa"/>
            <w:tcBorders>
              <w:top w:val="single" w:sz="4" w:space="0" w:color="BFBFBF"/>
              <w:bottom w:val="single" w:sz="4" w:space="0" w:color="BFBFBF"/>
            </w:tcBorders>
            <w:shd w:val="clear" w:color="auto" w:fill="F2F2F2"/>
          </w:tcPr>
          <w:p w14:paraId="3E59DA60"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181B69D9" w14:textId="1A53F4E9" w:rsidR="001054FB" w:rsidRPr="00C05DC2" w:rsidRDefault="005E1B9E" w:rsidP="002C5CB8">
            <w:pPr>
              <w:pStyle w:val="Quote"/>
              <w:spacing w:after="0" w:line="240" w:lineRule="auto"/>
              <w:rPr>
                <w:rFonts w:cs="Arial"/>
              </w:rPr>
            </w:pPr>
            <w:r>
              <w:rPr>
                <w:rFonts w:cs="Arial"/>
              </w:rPr>
              <w:t xml:space="preserve">Zone 1 </w:t>
            </w:r>
            <w:r w:rsidR="00E82DFB">
              <w:rPr>
                <w:rFonts w:cs="Arial"/>
              </w:rPr>
              <w:t>Head of</w:t>
            </w:r>
            <w:r>
              <w:rPr>
                <w:rFonts w:cs="Arial"/>
              </w:rPr>
              <w:t xml:space="preserve">    </w:t>
            </w:r>
          </w:p>
        </w:tc>
      </w:tr>
      <w:tr w:rsidR="00E46F33" w:rsidRPr="00C05DC2" w14:paraId="297ADB81" w14:textId="77777777" w:rsidTr="006F532E">
        <w:tc>
          <w:tcPr>
            <w:tcW w:w="2351" w:type="dxa"/>
            <w:tcBorders>
              <w:top w:val="single" w:sz="4" w:space="0" w:color="BFBFBF"/>
              <w:bottom w:val="single" w:sz="4" w:space="0" w:color="BFBFBF"/>
            </w:tcBorders>
            <w:shd w:val="clear" w:color="auto" w:fill="F2F2F2"/>
          </w:tcPr>
          <w:p w14:paraId="31C3B2AA" w14:textId="77777777" w:rsidR="00E46F33" w:rsidRPr="00C05DC2" w:rsidRDefault="00E46F33" w:rsidP="00E46F33">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3BA9FFFF" w14:textId="1EE5ACAB" w:rsidR="00E46F33" w:rsidRPr="00235165" w:rsidRDefault="00E82DFB" w:rsidP="00E46F33">
            <w:pPr>
              <w:rPr>
                <w:rFonts w:cs="Arial"/>
                <w:bCs/>
              </w:rPr>
            </w:pPr>
            <w:r>
              <w:rPr>
                <w:rFonts w:cs="Arial"/>
                <w:bCs/>
              </w:rPr>
              <w:t>Director of Communications and Engagement</w:t>
            </w:r>
          </w:p>
          <w:p w14:paraId="03CEA41F" w14:textId="77777777" w:rsidR="00E46F33" w:rsidRPr="00235165" w:rsidRDefault="00E46F33" w:rsidP="00E46F33">
            <w:pPr>
              <w:pStyle w:val="Quote"/>
              <w:spacing w:after="0" w:line="240" w:lineRule="auto"/>
              <w:rPr>
                <w:rFonts w:cs="Arial"/>
                <w:bCs/>
              </w:rPr>
            </w:pPr>
          </w:p>
        </w:tc>
      </w:tr>
      <w:tr w:rsidR="00E46F33" w:rsidRPr="00C05DC2" w14:paraId="33BE74A8" w14:textId="77777777" w:rsidTr="006F532E">
        <w:tc>
          <w:tcPr>
            <w:tcW w:w="2351" w:type="dxa"/>
            <w:tcBorders>
              <w:top w:val="single" w:sz="4" w:space="0" w:color="BFBFBF"/>
            </w:tcBorders>
            <w:shd w:val="clear" w:color="auto" w:fill="F2F2F2"/>
          </w:tcPr>
          <w:p w14:paraId="6943BE13" w14:textId="77777777" w:rsidR="00E46F33" w:rsidRPr="00C05DC2" w:rsidRDefault="00E46F33" w:rsidP="00E46F33">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66DFD36A" w14:textId="77777777" w:rsidR="00E46F33" w:rsidRPr="00C05DC2" w:rsidRDefault="00E46F33" w:rsidP="00E46F33">
            <w:pPr>
              <w:spacing w:after="0" w:line="240" w:lineRule="auto"/>
              <w:rPr>
                <w:rFonts w:cs="Arial"/>
                <w:color w:val="000000"/>
              </w:rPr>
            </w:pPr>
            <w:r>
              <w:rPr>
                <w:rFonts w:cs="Arial"/>
                <w:color w:val="000000"/>
              </w:rPr>
              <w:t>n/a</w:t>
            </w:r>
          </w:p>
        </w:tc>
      </w:tr>
      <w:tr w:rsidR="00E46F33" w:rsidRPr="00C05DC2" w14:paraId="6399CF7E" w14:textId="77777777" w:rsidTr="001054FB">
        <w:tc>
          <w:tcPr>
            <w:tcW w:w="9242" w:type="dxa"/>
            <w:gridSpan w:val="2"/>
            <w:tcBorders>
              <w:top w:val="single" w:sz="4" w:space="0" w:color="BFBFBF"/>
            </w:tcBorders>
            <w:shd w:val="clear" w:color="auto" w:fill="auto"/>
          </w:tcPr>
          <w:p w14:paraId="2C8E2122" w14:textId="77777777" w:rsidR="00E46F33" w:rsidRPr="00C05DC2" w:rsidRDefault="00E46F33" w:rsidP="00E46F33">
            <w:pPr>
              <w:spacing w:after="0" w:line="240" w:lineRule="auto"/>
              <w:rPr>
                <w:rFonts w:cs="Arial"/>
                <w:color w:val="000000"/>
              </w:rPr>
            </w:pPr>
          </w:p>
        </w:tc>
      </w:tr>
      <w:tr w:rsidR="00E46F33" w:rsidRPr="002C5CB8" w14:paraId="637E8F98" w14:textId="77777777" w:rsidTr="006F532E">
        <w:tc>
          <w:tcPr>
            <w:tcW w:w="9242" w:type="dxa"/>
            <w:gridSpan w:val="2"/>
            <w:tcBorders>
              <w:top w:val="single" w:sz="8" w:space="0" w:color="000000"/>
              <w:bottom w:val="single" w:sz="8" w:space="0" w:color="000000"/>
            </w:tcBorders>
            <w:shd w:val="clear" w:color="auto" w:fill="F2F2F2"/>
          </w:tcPr>
          <w:p w14:paraId="1EBA132E" w14:textId="77777777" w:rsidR="00E46F33" w:rsidRPr="002C5CB8" w:rsidRDefault="00E46F33" w:rsidP="00E46F33">
            <w:pPr>
              <w:pStyle w:val="Heading2"/>
              <w:spacing w:before="0" w:after="0" w:line="240" w:lineRule="auto"/>
              <w:rPr>
                <w:rFonts w:cs="Arial"/>
                <w:sz w:val="30"/>
                <w:szCs w:val="30"/>
              </w:rPr>
            </w:pPr>
            <w:r w:rsidRPr="002C5CB8">
              <w:rPr>
                <w:rFonts w:cs="Arial"/>
                <w:sz w:val="30"/>
                <w:szCs w:val="30"/>
              </w:rPr>
              <w:t>Who we are</w:t>
            </w:r>
          </w:p>
        </w:tc>
      </w:tr>
    </w:tbl>
    <w:p w14:paraId="0957A9CA" w14:textId="77777777" w:rsidR="00717A64" w:rsidRPr="002C5CB8" w:rsidRDefault="00717A64" w:rsidP="002C5CB8">
      <w:pPr>
        <w:shd w:val="clear" w:color="auto" w:fill="FFFFFF"/>
        <w:spacing w:after="0" w:line="240" w:lineRule="auto"/>
        <w:textAlignment w:val="top"/>
        <w:rPr>
          <w:rFonts w:cs="Arial"/>
        </w:rPr>
      </w:pPr>
    </w:p>
    <w:p w14:paraId="03196F9F"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8" w:history="1">
        <w:r w:rsidRPr="002C5CB8">
          <w:rPr>
            <w:rFonts w:cs="Arial"/>
          </w:rPr>
          <w:t>We call these our '3Ps'.</w:t>
        </w:r>
      </w:hyperlink>
    </w:p>
    <w:p w14:paraId="01DBD3F3" w14:textId="77777777" w:rsidR="00241D10" w:rsidRPr="002C5CB8" w:rsidRDefault="00241D10" w:rsidP="002C5CB8">
      <w:pPr>
        <w:shd w:val="clear" w:color="auto" w:fill="FFFFFF"/>
        <w:spacing w:after="0" w:line="240" w:lineRule="auto"/>
        <w:textAlignment w:val="top"/>
        <w:rPr>
          <w:rFonts w:cs="Arial"/>
        </w:rPr>
      </w:pPr>
    </w:p>
    <w:p w14:paraId="695EB2B2" w14:textId="6C1DE9D2" w:rsidR="00241D10" w:rsidRDefault="00241D10" w:rsidP="002C5CB8">
      <w:pPr>
        <w:shd w:val="clear" w:color="auto" w:fill="FFFFFF"/>
        <w:spacing w:after="0" w:line="240" w:lineRule="auto"/>
        <w:textAlignment w:val="top"/>
        <w:rPr>
          <w:rFonts w:cs="Arial"/>
        </w:rPr>
      </w:pPr>
      <w:r w:rsidRPr="002C5CB8">
        <w:rPr>
          <w:rFonts w:cs="Arial"/>
        </w:rPr>
        <w:t>We achieve this in two ways. First</w:t>
      </w:r>
      <w:r w:rsidR="0050680A">
        <w:rPr>
          <w:rFonts w:cs="Arial"/>
        </w:rPr>
        <w:t>ly,</w:t>
      </w:r>
      <w:r w:rsidRPr="002C5CB8">
        <w:rPr>
          <w:rFonts w:cs="Arial"/>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4F2D3510" w14:textId="77777777" w:rsidR="00D00A0E" w:rsidRDefault="00D00A0E" w:rsidP="00D00A0E">
      <w:pPr>
        <w:shd w:val="clear" w:color="auto" w:fill="FFFFFF"/>
        <w:spacing w:after="0" w:line="240" w:lineRule="auto"/>
        <w:textAlignment w:val="top"/>
        <w:rPr>
          <w:rFonts w:cs="Arial"/>
        </w:rPr>
      </w:pPr>
    </w:p>
    <w:p w14:paraId="3D3FE4F5" w14:textId="5C12900D" w:rsidR="00D00A0E" w:rsidRDefault="00D00A0E" w:rsidP="00D00A0E">
      <w:pPr>
        <w:shd w:val="clear" w:color="auto" w:fill="FFFFFF"/>
        <w:spacing w:after="0" w:line="240" w:lineRule="auto"/>
        <w:textAlignment w:val="top"/>
        <w:rPr>
          <w:rFonts w:cs="Arial"/>
        </w:rPr>
      </w:pPr>
      <w:r>
        <w:rPr>
          <w:rFonts w:cs="Arial"/>
        </w:rPr>
        <w:t xml:space="preserve">We’re a large organisation, with over 120 services operating across 5 different hubs: justice, young people and families, education, employability and skills and apprenticeships. </w:t>
      </w:r>
    </w:p>
    <w:p w14:paraId="0662788F" w14:textId="77777777" w:rsidR="00E82DFB" w:rsidRDefault="00E82DFB" w:rsidP="002C5CB8">
      <w:pPr>
        <w:shd w:val="clear" w:color="auto" w:fill="FFFFFF"/>
        <w:spacing w:after="0" w:line="240" w:lineRule="auto"/>
        <w:textAlignment w:val="top"/>
        <w:rPr>
          <w:rFonts w:cs="Arial"/>
        </w:rPr>
      </w:pPr>
    </w:p>
    <w:p w14:paraId="70FA47F3" w14:textId="77777777" w:rsidR="005E1B9E" w:rsidRDefault="005E1B9E" w:rsidP="002C5CB8">
      <w:pPr>
        <w:shd w:val="clear" w:color="auto" w:fill="FFFFFF"/>
        <w:spacing w:after="0" w:line="240" w:lineRule="auto"/>
        <w:textAlignment w:val="top"/>
        <w:rPr>
          <w:rFonts w:cs="Arial"/>
        </w:rPr>
      </w:pPr>
    </w:p>
    <w:p w14:paraId="4CA7200D" w14:textId="77777777" w:rsidR="005E1B9E" w:rsidRDefault="005E1B9E" w:rsidP="002C5CB8">
      <w:pPr>
        <w:shd w:val="clear" w:color="auto" w:fill="FFFFFF"/>
        <w:spacing w:after="0" w:line="240" w:lineRule="auto"/>
        <w:textAlignment w:val="top"/>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12B6EC98" w14:textId="77777777" w:rsidTr="223C2188">
        <w:trPr>
          <w:gridAfter w:val="1"/>
          <w:wAfter w:w="1001" w:type="dxa"/>
        </w:trPr>
        <w:tc>
          <w:tcPr>
            <w:tcW w:w="9242" w:type="dxa"/>
            <w:tcBorders>
              <w:top w:val="single" w:sz="8" w:space="0" w:color="000000" w:themeColor="text1"/>
              <w:bottom w:val="single" w:sz="8" w:space="0" w:color="000000" w:themeColor="text1"/>
            </w:tcBorders>
            <w:shd w:val="clear" w:color="auto" w:fill="F2F2F2" w:themeFill="background1" w:themeFillShade="F2"/>
          </w:tcPr>
          <w:p w14:paraId="4285666B"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2276FF66" w14:textId="77777777" w:rsidTr="223C2188">
        <w:tblPrEx>
          <w:tblBorders>
            <w:top w:val="nil"/>
            <w:left w:val="nil"/>
            <w:bottom w:val="nil"/>
            <w:right w:val="nil"/>
          </w:tblBorders>
          <w:tblLook w:val="0000" w:firstRow="0" w:lastRow="0" w:firstColumn="0" w:lastColumn="0" w:noHBand="0" w:noVBand="0"/>
        </w:tblPrEx>
        <w:trPr>
          <w:trHeight w:val="953"/>
        </w:trPr>
        <w:tc>
          <w:tcPr>
            <w:tcW w:w="10243" w:type="dxa"/>
            <w:gridSpan w:val="2"/>
            <w:tcBorders>
              <w:top w:val="nil"/>
              <w:left w:val="nil"/>
              <w:bottom w:val="nil"/>
              <w:right w:val="nil"/>
            </w:tcBorders>
          </w:tcPr>
          <w:p w14:paraId="0E9F2EE8" w14:textId="77777777" w:rsidR="008F2391" w:rsidRPr="005E1B9E" w:rsidRDefault="008F2391" w:rsidP="002C5CB8">
            <w:pPr>
              <w:pStyle w:val="NormalWeb"/>
              <w:spacing w:before="0" w:beforeAutospacing="0" w:after="0" w:afterAutospacing="0"/>
              <w:rPr>
                <w:rFonts w:ascii="Arial" w:eastAsia="Calibri" w:hAnsi="Arial" w:cs="Arial"/>
                <w:sz w:val="22"/>
                <w:szCs w:val="22"/>
                <w:lang w:eastAsia="en-US"/>
              </w:rPr>
            </w:pPr>
          </w:p>
          <w:p w14:paraId="5620D1E4" w14:textId="68CBFF40" w:rsidR="00172D6B" w:rsidRDefault="00A87A70" w:rsidP="00172D6B">
            <w:pPr>
              <w:rPr>
                <w:sz w:val="24"/>
                <w:szCs w:val="24"/>
              </w:rPr>
            </w:pPr>
            <w:r>
              <w:rPr>
                <w:sz w:val="24"/>
                <w:szCs w:val="24"/>
              </w:rPr>
              <w:t xml:space="preserve">Reporting to the Director of Communications, you will play a key part </w:t>
            </w:r>
            <w:r w:rsidR="00087C1E">
              <w:rPr>
                <w:sz w:val="24"/>
                <w:szCs w:val="24"/>
              </w:rPr>
              <w:t xml:space="preserve">in </w:t>
            </w:r>
            <w:r w:rsidR="00222651">
              <w:rPr>
                <w:sz w:val="24"/>
                <w:szCs w:val="24"/>
              </w:rPr>
              <w:t xml:space="preserve">the </w:t>
            </w:r>
            <w:r w:rsidR="00234911">
              <w:rPr>
                <w:sz w:val="24"/>
                <w:szCs w:val="24"/>
              </w:rPr>
              <w:t>shaping the direction</w:t>
            </w:r>
            <w:r w:rsidR="00222651">
              <w:rPr>
                <w:sz w:val="24"/>
                <w:szCs w:val="24"/>
              </w:rPr>
              <w:t xml:space="preserve"> of Catch22’s </w:t>
            </w:r>
            <w:r w:rsidR="00D97C6D">
              <w:rPr>
                <w:sz w:val="24"/>
                <w:szCs w:val="24"/>
              </w:rPr>
              <w:t xml:space="preserve">policy and </w:t>
            </w:r>
            <w:r w:rsidR="007512B4">
              <w:rPr>
                <w:sz w:val="24"/>
                <w:szCs w:val="24"/>
              </w:rPr>
              <w:t>influencing activity.</w:t>
            </w:r>
          </w:p>
          <w:p w14:paraId="750C22FF" w14:textId="48F1D898" w:rsidR="007512B4" w:rsidRDefault="007512B4" w:rsidP="00172D6B">
            <w:pPr>
              <w:rPr>
                <w:sz w:val="24"/>
                <w:szCs w:val="24"/>
              </w:rPr>
            </w:pPr>
            <w:r>
              <w:rPr>
                <w:sz w:val="24"/>
                <w:szCs w:val="24"/>
              </w:rPr>
              <w:t xml:space="preserve">You will be responsible for </w:t>
            </w:r>
            <w:r w:rsidR="009F4437">
              <w:rPr>
                <w:sz w:val="24"/>
                <w:szCs w:val="24"/>
              </w:rPr>
              <w:t>progressing policy on our four priority areas: online harms, risk and resilience, youth employment and justice (victims services and rehabilitation).</w:t>
            </w:r>
            <w:r w:rsidR="009E0B46">
              <w:rPr>
                <w:sz w:val="24"/>
                <w:szCs w:val="24"/>
              </w:rPr>
              <w:t xml:space="preserve"> You will build strong relationships with stakeholders </w:t>
            </w:r>
            <w:r w:rsidR="004E23CC">
              <w:rPr>
                <w:sz w:val="24"/>
                <w:szCs w:val="24"/>
              </w:rPr>
              <w:t xml:space="preserve">in order to </w:t>
            </w:r>
            <w:r w:rsidR="00223846">
              <w:rPr>
                <w:sz w:val="24"/>
                <w:szCs w:val="24"/>
              </w:rPr>
              <w:t xml:space="preserve">pursue Catch22’s policy ‘asks’. You’ll also work closely </w:t>
            </w:r>
            <w:r w:rsidR="00DB5A0A">
              <w:rPr>
                <w:sz w:val="24"/>
                <w:szCs w:val="24"/>
              </w:rPr>
              <w:t xml:space="preserve">with </w:t>
            </w:r>
            <w:r w:rsidR="00DC6D7D">
              <w:rPr>
                <w:sz w:val="24"/>
                <w:szCs w:val="24"/>
              </w:rPr>
              <w:t>other organisations and within coalitions to drive policy changes for the benefit of the services users we work with.</w:t>
            </w:r>
            <w:r w:rsidR="00223846">
              <w:rPr>
                <w:sz w:val="24"/>
                <w:szCs w:val="24"/>
              </w:rPr>
              <w:t xml:space="preserve"> </w:t>
            </w:r>
          </w:p>
          <w:p w14:paraId="0B825802" w14:textId="5F979AF7" w:rsidR="00172D6B" w:rsidRPr="005E1B9E" w:rsidRDefault="00172D6B" w:rsidP="00172D6B">
            <w:pPr>
              <w:rPr>
                <w:rFonts w:cs="Arial"/>
              </w:rPr>
            </w:pPr>
          </w:p>
        </w:tc>
      </w:tr>
      <w:tr w:rsidR="00D411D8" w:rsidRPr="002C5CB8" w14:paraId="47AF8735" w14:textId="77777777" w:rsidTr="223C2188">
        <w:trPr>
          <w:gridAfter w:val="1"/>
          <w:wAfter w:w="1001" w:type="dxa"/>
        </w:trPr>
        <w:tc>
          <w:tcPr>
            <w:tcW w:w="9242" w:type="dxa"/>
            <w:tcBorders>
              <w:top w:val="single" w:sz="8" w:space="0" w:color="000000" w:themeColor="text1"/>
              <w:bottom w:val="single" w:sz="8" w:space="0" w:color="000000" w:themeColor="text1"/>
            </w:tcBorders>
            <w:shd w:val="clear" w:color="auto" w:fill="F2F2F2" w:themeFill="background1" w:themeFillShade="F2"/>
          </w:tcPr>
          <w:p w14:paraId="4A30A826"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33E2C815" w14:textId="77777777" w:rsidR="003B2762" w:rsidRPr="002C5CB8" w:rsidRDefault="003B2762" w:rsidP="002C5CB8">
      <w:pPr>
        <w:spacing w:after="0" w:line="240" w:lineRule="auto"/>
        <w:rPr>
          <w:rFonts w:cs="Arial"/>
          <w:color w:val="000000"/>
          <w:lang w:eastAsia="en-GB"/>
        </w:rPr>
      </w:pPr>
    </w:p>
    <w:p w14:paraId="271C24ED" w14:textId="48B139A3" w:rsidR="00F849A1" w:rsidRPr="006D13C0" w:rsidRDefault="006D13C0" w:rsidP="00F849A1">
      <w:pPr>
        <w:rPr>
          <w:b/>
          <w:bCs/>
          <w:sz w:val="24"/>
          <w:szCs w:val="24"/>
        </w:rPr>
      </w:pPr>
      <w:r w:rsidRPr="006D13C0">
        <w:rPr>
          <w:b/>
          <w:bCs/>
          <w:sz w:val="24"/>
          <w:szCs w:val="24"/>
        </w:rPr>
        <w:t>Stakeholder engagement</w:t>
      </w:r>
    </w:p>
    <w:p w14:paraId="0ECBCB7E" w14:textId="4C3ACE0E" w:rsidR="00DC6D7D" w:rsidRPr="00246F9D" w:rsidRDefault="00DC6D7D" w:rsidP="00F849A1">
      <w:pPr>
        <w:pStyle w:val="ListParagraph"/>
        <w:numPr>
          <w:ilvl w:val="0"/>
          <w:numId w:val="7"/>
        </w:numPr>
        <w:spacing w:after="0" w:line="240" w:lineRule="auto"/>
        <w:rPr>
          <w:color w:val="000000" w:themeColor="text1"/>
        </w:rPr>
      </w:pPr>
      <w:r>
        <w:t>D</w:t>
      </w:r>
      <w:r w:rsidR="004B64E9">
        <w:t>evelop and pursue influencing strategies with key stakeholders and decision makers in order to create an environment conducive to</w:t>
      </w:r>
      <w:r w:rsidR="001E0D12">
        <w:t xml:space="preserve"> policy change</w:t>
      </w:r>
    </w:p>
    <w:p w14:paraId="38367F39" w14:textId="111DAB77" w:rsidR="005E397B" w:rsidRPr="005E397B" w:rsidRDefault="00246F9D" w:rsidP="005E397B">
      <w:pPr>
        <w:pStyle w:val="ListParagraph"/>
        <w:numPr>
          <w:ilvl w:val="0"/>
          <w:numId w:val="7"/>
        </w:numPr>
        <w:spacing w:after="0" w:line="240" w:lineRule="auto"/>
        <w:rPr>
          <w:color w:val="000000" w:themeColor="text1"/>
        </w:rPr>
      </w:pPr>
      <w:r>
        <w:lastRenderedPageBreak/>
        <w:t>Build strong relationships</w:t>
      </w:r>
      <w:r w:rsidR="00701BB2">
        <w:t xml:space="preserve"> with officials </w:t>
      </w:r>
      <w:r w:rsidR="005146D6">
        <w:t xml:space="preserve">in key government departments in order to </w:t>
      </w:r>
      <w:r w:rsidR="0071082B">
        <w:t>progress</w:t>
      </w:r>
      <w:r w:rsidR="0097633C">
        <w:t xml:space="preserve"> our</w:t>
      </w:r>
      <w:r w:rsidR="0071082B">
        <w:t xml:space="preserve"> policy</w:t>
      </w:r>
      <w:r w:rsidR="0097633C">
        <w:t xml:space="preserve"> priority</w:t>
      </w:r>
      <w:r w:rsidR="0071082B">
        <w:t xml:space="preserve"> areas</w:t>
      </w:r>
    </w:p>
    <w:p w14:paraId="0F79B968" w14:textId="1B923F93" w:rsidR="005E397B" w:rsidRDefault="005E397B" w:rsidP="005E397B">
      <w:pPr>
        <w:pStyle w:val="ListParagraph"/>
        <w:numPr>
          <w:ilvl w:val="0"/>
          <w:numId w:val="7"/>
        </w:numPr>
        <w:spacing w:after="0" w:line="240" w:lineRule="auto"/>
        <w:rPr>
          <w:color w:val="000000" w:themeColor="text1"/>
        </w:rPr>
      </w:pPr>
      <w:r w:rsidRPr="37E59857">
        <w:rPr>
          <w:color w:val="000000" w:themeColor="text1"/>
        </w:rPr>
        <w:t xml:space="preserve">Lead on </w:t>
      </w:r>
      <w:r w:rsidR="00802A6D" w:rsidRPr="37E59857">
        <w:rPr>
          <w:color w:val="000000" w:themeColor="text1"/>
        </w:rPr>
        <w:t xml:space="preserve">developing a programme of visits of officials to relevant Catch22 </w:t>
      </w:r>
      <w:r w:rsidR="00C14358" w:rsidRPr="37E59857">
        <w:rPr>
          <w:color w:val="000000" w:themeColor="text1"/>
        </w:rPr>
        <w:t>services in order to raise our profile amongst policy and decision makers</w:t>
      </w:r>
    </w:p>
    <w:p w14:paraId="4D48C8B5" w14:textId="431A6F40" w:rsidR="37E59857" w:rsidRDefault="37E59857" w:rsidP="37E59857">
      <w:pPr>
        <w:pStyle w:val="ListParagraph"/>
        <w:numPr>
          <w:ilvl w:val="0"/>
          <w:numId w:val="7"/>
        </w:numPr>
        <w:spacing w:after="0" w:line="240" w:lineRule="auto"/>
        <w:rPr>
          <w:color w:val="000000" w:themeColor="text1"/>
        </w:rPr>
      </w:pPr>
      <w:r w:rsidRPr="37E59857">
        <w:rPr>
          <w:color w:val="000000" w:themeColor="text1"/>
        </w:rPr>
        <w:t xml:space="preserve">Develop of programme of Catch22 policy networking events with key stakeholders </w:t>
      </w:r>
    </w:p>
    <w:p w14:paraId="1800E1FE" w14:textId="77777777" w:rsidR="00C14358" w:rsidRPr="00C14358" w:rsidRDefault="00C14358" w:rsidP="00C14358">
      <w:pPr>
        <w:spacing w:after="0" w:line="240" w:lineRule="auto"/>
        <w:rPr>
          <w:color w:val="000000" w:themeColor="text1"/>
        </w:rPr>
      </w:pPr>
    </w:p>
    <w:p w14:paraId="5A9A581E" w14:textId="0DE73AFD" w:rsidR="002A4EB7" w:rsidRDefault="002A4EB7" w:rsidP="002A4EB7">
      <w:pPr>
        <w:spacing w:after="0" w:line="240" w:lineRule="auto"/>
        <w:rPr>
          <w:color w:val="000000" w:themeColor="text1"/>
        </w:rPr>
      </w:pPr>
    </w:p>
    <w:p w14:paraId="7ACEAF9B" w14:textId="19F68B59" w:rsidR="002A4EB7" w:rsidRPr="00052B49" w:rsidRDefault="002A4EB7" w:rsidP="002A4EB7">
      <w:pPr>
        <w:spacing w:after="0" w:line="240" w:lineRule="auto"/>
        <w:rPr>
          <w:b/>
          <w:bCs/>
          <w:color w:val="000000" w:themeColor="text1"/>
        </w:rPr>
      </w:pPr>
      <w:r w:rsidRPr="00052B49">
        <w:rPr>
          <w:b/>
          <w:bCs/>
          <w:color w:val="000000" w:themeColor="text1"/>
        </w:rPr>
        <w:t>Consultation responses</w:t>
      </w:r>
      <w:r w:rsidR="006D3973">
        <w:rPr>
          <w:b/>
          <w:bCs/>
          <w:color w:val="000000" w:themeColor="text1"/>
        </w:rPr>
        <w:t xml:space="preserve"> and parliamentary briefings</w:t>
      </w:r>
    </w:p>
    <w:p w14:paraId="60AD1C7C" w14:textId="6C2AA320" w:rsidR="002A4EB7" w:rsidRDefault="002A4EB7" w:rsidP="002A4EB7">
      <w:pPr>
        <w:spacing w:after="0" w:line="240" w:lineRule="auto"/>
        <w:rPr>
          <w:color w:val="000000" w:themeColor="text1"/>
        </w:rPr>
      </w:pPr>
    </w:p>
    <w:p w14:paraId="6D207FAC" w14:textId="06107D46" w:rsidR="00C14358" w:rsidRDefault="002A4EB7" w:rsidP="002A4EB7">
      <w:pPr>
        <w:pStyle w:val="ListParagraph"/>
        <w:numPr>
          <w:ilvl w:val="0"/>
          <w:numId w:val="8"/>
        </w:numPr>
        <w:spacing w:after="0" w:line="240" w:lineRule="auto"/>
        <w:rPr>
          <w:color w:val="000000" w:themeColor="text1"/>
        </w:rPr>
      </w:pPr>
      <w:r>
        <w:rPr>
          <w:color w:val="000000" w:themeColor="text1"/>
        </w:rPr>
        <w:t xml:space="preserve">Lead on </w:t>
      </w:r>
      <w:r w:rsidR="00E44334">
        <w:rPr>
          <w:color w:val="000000" w:themeColor="text1"/>
        </w:rPr>
        <w:t>compiling information and writing responses to relevant</w:t>
      </w:r>
      <w:r w:rsidR="00C14358">
        <w:rPr>
          <w:color w:val="000000" w:themeColor="text1"/>
        </w:rPr>
        <w:t xml:space="preserve"> government and departmental</w:t>
      </w:r>
      <w:r w:rsidR="00E44334">
        <w:rPr>
          <w:color w:val="000000" w:themeColor="text1"/>
        </w:rPr>
        <w:t xml:space="preserve"> </w:t>
      </w:r>
      <w:r w:rsidR="008E32F3">
        <w:rPr>
          <w:color w:val="000000" w:themeColor="text1"/>
        </w:rPr>
        <w:t>consultations</w:t>
      </w:r>
    </w:p>
    <w:p w14:paraId="41A2ACCA" w14:textId="2F69A233" w:rsidR="00E43089" w:rsidRDefault="00E43089" w:rsidP="002A4EB7">
      <w:pPr>
        <w:pStyle w:val="ListParagraph"/>
        <w:numPr>
          <w:ilvl w:val="0"/>
          <w:numId w:val="8"/>
        </w:numPr>
        <w:spacing w:after="0" w:line="240" w:lineRule="auto"/>
        <w:rPr>
          <w:color w:val="000000" w:themeColor="text1"/>
        </w:rPr>
      </w:pPr>
      <w:r>
        <w:rPr>
          <w:color w:val="000000" w:themeColor="text1"/>
        </w:rPr>
        <w:t>Work with other organisations to find areas of synergy</w:t>
      </w:r>
      <w:r w:rsidR="006D3973">
        <w:rPr>
          <w:color w:val="000000" w:themeColor="text1"/>
        </w:rPr>
        <w:t xml:space="preserve"> and contribute to join responses</w:t>
      </w:r>
    </w:p>
    <w:p w14:paraId="02804AE2" w14:textId="44F0637E" w:rsidR="006D3973" w:rsidRDefault="006D3973" w:rsidP="002A4EB7">
      <w:pPr>
        <w:pStyle w:val="ListParagraph"/>
        <w:numPr>
          <w:ilvl w:val="0"/>
          <w:numId w:val="8"/>
        </w:numPr>
        <w:spacing w:after="0" w:line="240" w:lineRule="auto"/>
        <w:rPr>
          <w:color w:val="000000" w:themeColor="text1"/>
        </w:rPr>
      </w:pPr>
      <w:r>
        <w:rPr>
          <w:color w:val="000000" w:themeColor="text1"/>
        </w:rPr>
        <w:t xml:space="preserve">Identify upcoming parliamentary debates and brief MPs </w:t>
      </w:r>
      <w:r w:rsidR="0097633C">
        <w:rPr>
          <w:color w:val="000000" w:themeColor="text1"/>
        </w:rPr>
        <w:t>on Catch22’s stance and policy calls</w:t>
      </w:r>
    </w:p>
    <w:p w14:paraId="5525ADF7" w14:textId="0C726DEF" w:rsidR="00381A11" w:rsidRDefault="00381A11" w:rsidP="002A4EB7">
      <w:pPr>
        <w:pStyle w:val="ListParagraph"/>
        <w:numPr>
          <w:ilvl w:val="0"/>
          <w:numId w:val="8"/>
        </w:numPr>
        <w:spacing w:after="0" w:line="240" w:lineRule="auto"/>
        <w:rPr>
          <w:color w:val="000000" w:themeColor="text1"/>
        </w:rPr>
      </w:pPr>
      <w:r>
        <w:rPr>
          <w:color w:val="000000" w:themeColor="text1"/>
        </w:rPr>
        <w:t xml:space="preserve">Work with ‘friendly’ MPs to table parliamentary questions on areas relevant to our campaigning </w:t>
      </w:r>
      <w:r w:rsidR="00CF388C">
        <w:rPr>
          <w:color w:val="000000" w:themeColor="text1"/>
        </w:rPr>
        <w:t>activity</w:t>
      </w:r>
    </w:p>
    <w:p w14:paraId="6BF43913" w14:textId="77777777" w:rsidR="00C54C0E" w:rsidRDefault="00C54C0E" w:rsidP="003E5719">
      <w:pPr>
        <w:pStyle w:val="ListParagraph"/>
        <w:spacing w:after="0" w:line="240" w:lineRule="auto"/>
        <w:rPr>
          <w:color w:val="000000" w:themeColor="text1"/>
        </w:rPr>
      </w:pPr>
    </w:p>
    <w:p w14:paraId="52B31ABB" w14:textId="2C4A663C" w:rsidR="00B741B1" w:rsidRDefault="00B741B1" w:rsidP="00B741B1">
      <w:pPr>
        <w:spacing w:after="0" w:line="240" w:lineRule="auto"/>
        <w:rPr>
          <w:color w:val="000000" w:themeColor="text1"/>
        </w:rPr>
      </w:pPr>
    </w:p>
    <w:p w14:paraId="3D40E899" w14:textId="04585DCA" w:rsidR="00B741B1" w:rsidRPr="00B741B1" w:rsidRDefault="00B741B1" w:rsidP="00B741B1">
      <w:pPr>
        <w:spacing w:after="0" w:line="240" w:lineRule="auto"/>
        <w:rPr>
          <w:b/>
          <w:bCs/>
          <w:color w:val="000000" w:themeColor="text1"/>
        </w:rPr>
      </w:pPr>
      <w:r w:rsidRPr="00B741B1">
        <w:rPr>
          <w:b/>
          <w:bCs/>
          <w:color w:val="000000" w:themeColor="text1"/>
        </w:rPr>
        <w:t>Events</w:t>
      </w:r>
    </w:p>
    <w:p w14:paraId="4D12CCDF" w14:textId="15B0B61B" w:rsidR="00B741B1" w:rsidRPr="000B6A16" w:rsidRDefault="00B741B1" w:rsidP="00B741B1">
      <w:pPr>
        <w:pStyle w:val="ListParagraph"/>
        <w:numPr>
          <w:ilvl w:val="0"/>
          <w:numId w:val="8"/>
        </w:numPr>
        <w:spacing w:after="0" w:line="240" w:lineRule="auto"/>
        <w:rPr>
          <w:color w:val="000000" w:themeColor="text1"/>
        </w:rPr>
      </w:pPr>
      <w:r w:rsidRPr="37E59857">
        <w:rPr>
          <w:color w:val="000000" w:themeColor="text1"/>
        </w:rPr>
        <w:t>Design a strategy for policy roundtables</w:t>
      </w:r>
      <w:r w:rsidR="0053053C" w:rsidRPr="37E59857">
        <w:rPr>
          <w:color w:val="000000" w:themeColor="text1"/>
        </w:rPr>
        <w:t>, involving policy makers and decision makers</w:t>
      </w:r>
      <w:r w:rsidR="006970FA" w:rsidRPr="37E59857">
        <w:rPr>
          <w:color w:val="000000" w:themeColor="text1"/>
        </w:rPr>
        <w:t xml:space="preserve"> at local and national level</w:t>
      </w:r>
      <w:r w:rsidR="0053053C" w:rsidRPr="37E59857">
        <w:rPr>
          <w:color w:val="000000" w:themeColor="text1"/>
        </w:rPr>
        <w:t xml:space="preserve">, relevant to Catch22 policy and campaigns priority areas: </w:t>
      </w:r>
      <w:r w:rsidR="0053053C">
        <w:t>online harms, risk and resilience, youth employment and justice (victims services and rehabilitation)</w:t>
      </w:r>
    </w:p>
    <w:p w14:paraId="660A1DAF" w14:textId="2BEA66EA" w:rsidR="000B6A16" w:rsidRDefault="003E5719" w:rsidP="00B741B1">
      <w:pPr>
        <w:pStyle w:val="ListParagraph"/>
        <w:numPr>
          <w:ilvl w:val="0"/>
          <w:numId w:val="8"/>
        </w:numPr>
        <w:spacing w:after="0" w:line="240" w:lineRule="auto"/>
        <w:rPr>
          <w:color w:val="000000" w:themeColor="text1"/>
        </w:rPr>
      </w:pPr>
      <w:r w:rsidRPr="37E59857">
        <w:rPr>
          <w:color w:val="000000" w:themeColor="text1"/>
        </w:rPr>
        <w:t xml:space="preserve">Act as a spokesperson for Catch22 at external (and internal) events, relating to </w:t>
      </w:r>
      <w:r w:rsidR="00CB34A4" w:rsidRPr="37E59857">
        <w:rPr>
          <w:color w:val="000000" w:themeColor="text1"/>
        </w:rPr>
        <w:t xml:space="preserve">our policy priority areas, sometimes standing in for senior members of staff </w:t>
      </w:r>
    </w:p>
    <w:p w14:paraId="0200D274" w14:textId="5994954B" w:rsidR="00CB34A4" w:rsidRPr="0053053C" w:rsidRDefault="00CB34A4" w:rsidP="00B741B1">
      <w:pPr>
        <w:pStyle w:val="ListParagraph"/>
        <w:numPr>
          <w:ilvl w:val="0"/>
          <w:numId w:val="8"/>
        </w:numPr>
        <w:spacing w:after="0" w:line="240" w:lineRule="auto"/>
        <w:rPr>
          <w:color w:val="000000" w:themeColor="text1"/>
        </w:rPr>
      </w:pPr>
      <w:r>
        <w:rPr>
          <w:color w:val="000000" w:themeColor="text1"/>
        </w:rPr>
        <w:t xml:space="preserve">Provide briefings for </w:t>
      </w:r>
      <w:r w:rsidR="006970FA">
        <w:rPr>
          <w:color w:val="000000" w:themeColor="text1"/>
        </w:rPr>
        <w:t xml:space="preserve">senior </w:t>
      </w:r>
      <w:r>
        <w:rPr>
          <w:color w:val="000000" w:themeColor="text1"/>
        </w:rPr>
        <w:t>members of staff</w:t>
      </w:r>
      <w:r w:rsidR="006970FA">
        <w:rPr>
          <w:color w:val="000000" w:themeColor="text1"/>
        </w:rPr>
        <w:t>, including the Chief Officers Group,</w:t>
      </w:r>
      <w:r>
        <w:rPr>
          <w:color w:val="000000" w:themeColor="text1"/>
        </w:rPr>
        <w:t xml:space="preserve"> </w:t>
      </w:r>
      <w:r w:rsidR="006970FA">
        <w:rPr>
          <w:color w:val="000000" w:themeColor="text1"/>
        </w:rPr>
        <w:t xml:space="preserve">who are </w:t>
      </w:r>
      <w:r>
        <w:rPr>
          <w:color w:val="000000" w:themeColor="text1"/>
        </w:rPr>
        <w:t>speaking at external events</w:t>
      </w:r>
    </w:p>
    <w:p w14:paraId="6C7CCAAA" w14:textId="3729A2A9" w:rsidR="00C14358" w:rsidRPr="00155DB5" w:rsidRDefault="00C14358" w:rsidP="00155DB5">
      <w:pPr>
        <w:spacing w:after="0" w:line="240" w:lineRule="auto"/>
        <w:rPr>
          <w:b/>
          <w:bCs/>
          <w:color w:val="000000" w:themeColor="text1"/>
        </w:rPr>
      </w:pPr>
    </w:p>
    <w:p w14:paraId="535202E3" w14:textId="6C917DFD" w:rsidR="00155DB5" w:rsidRPr="00155DB5" w:rsidRDefault="00155DB5" w:rsidP="00155DB5">
      <w:pPr>
        <w:spacing w:after="0" w:line="240" w:lineRule="auto"/>
        <w:rPr>
          <w:b/>
          <w:bCs/>
          <w:color w:val="000000" w:themeColor="text1"/>
        </w:rPr>
      </w:pPr>
      <w:r w:rsidRPr="00155DB5">
        <w:rPr>
          <w:b/>
          <w:bCs/>
          <w:color w:val="000000" w:themeColor="text1"/>
        </w:rPr>
        <w:t>Campaigning</w:t>
      </w:r>
    </w:p>
    <w:p w14:paraId="23A4D84A" w14:textId="249B3D76" w:rsidR="00246F9D" w:rsidRDefault="00246F9D" w:rsidP="00246F9D">
      <w:pPr>
        <w:spacing w:after="0" w:line="240" w:lineRule="auto"/>
        <w:rPr>
          <w:color w:val="000000" w:themeColor="text1"/>
        </w:rPr>
      </w:pPr>
    </w:p>
    <w:p w14:paraId="729196BB" w14:textId="39572FAF" w:rsidR="00155DB5" w:rsidRDefault="00293F7E" w:rsidP="00155DB5">
      <w:pPr>
        <w:pStyle w:val="ListParagraph"/>
        <w:numPr>
          <w:ilvl w:val="0"/>
          <w:numId w:val="8"/>
        </w:numPr>
        <w:spacing w:after="0" w:line="240" w:lineRule="auto"/>
        <w:rPr>
          <w:color w:val="000000" w:themeColor="text1"/>
        </w:rPr>
      </w:pPr>
      <w:r w:rsidRPr="37E59857">
        <w:rPr>
          <w:color w:val="000000" w:themeColor="text1"/>
        </w:rPr>
        <w:t xml:space="preserve">Lead on campaigns that will help achieve policy goals – working with the wider communications team to </w:t>
      </w:r>
      <w:r w:rsidR="00D35686" w:rsidRPr="37E59857">
        <w:rPr>
          <w:color w:val="000000" w:themeColor="text1"/>
        </w:rPr>
        <w:t>build</w:t>
      </w:r>
      <w:r w:rsidR="003E5719" w:rsidRPr="37E59857">
        <w:rPr>
          <w:color w:val="000000" w:themeColor="text1"/>
        </w:rPr>
        <w:t xml:space="preserve"> content that can be used on the website, social media and media</w:t>
      </w:r>
    </w:p>
    <w:p w14:paraId="5575E18C" w14:textId="5E7E2BA4" w:rsidR="006D3973" w:rsidRDefault="006D3973" w:rsidP="00155DB5">
      <w:pPr>
        <w:pStyle w:val="ListParagraph"/>
        <w:numPr>
          <w:ilvl w:val="0"/>
          <w:numId w:val="8"/>
        </w:numPr>
        <w:spacing w:after="0" w:line="240" w:lineRule="auto"/>
        <w:rPr>
          <w:color w:val="000000" w:themeColor="text1"/>
        </w:rPr>
      </w:pPr>
      <w:r w:rsidRPr="37E59857">
        <w:rPr>
          <w:color w:val="000000" w:themeColor="text1"/>
        </w:rPr>
        <w:t>Forge strong working relationships with other organisations whose campaigning priorities align, and work with them to push for policy change</w:t>
      </w:r>
    </w:p>
    <w:p w14:paraId="08C0AAD8" w14:textId="58775FB0" w:rsidR="001F72FA" w:rsidRPr="00155DB5" w:rsidRDefault="001F72FA" w:rsidP="00155DB5">
      <w:pPr>
        <w:pStyle w:val="ListParagraph"/>
        <w:numPr>
          <w:ilvl w:val="0"/>
          <w:numId w:val="8"/>
        </w:numPr>
        <w:spacing w:after="0" w:line="240" w:lineRule="auto"/>
        <w:rPr>
          <w:color w:val="000000" w:themeColor="text1"/>
        </w:rPr>
      </w:pPr>
      <w:r w:rsidRPr="37E59857">
        <w:rPr>
          <w:color w:val="000000" w:themeColor="text1"/>
        </w:rPr>
        <w:t xml:space="preserve">Author blogs and think pieces, for the Catch22 website and external publications, based on </w:t>
      </w:r>
      <w:r w:rsidR="009F20DE" w:rsidRPr="37E59857">
        <w:rPr>
          <w:color w:val="000000" w:themeColor="text1"/>
        </w:rPr>
        <w:t>campaigning areas</w:t>
      </w:r>
    </w:p>
    <w:p w14:paraId="45CCFE72" w14:textId="44B73034" w:rsidR="37E59857" w:rsidRDefault="37E59857" w:rsidP="37E59857">
      <w:pPr>
        <w:pStyle w:val="ListParagraph"/>
        <w:numPr>
          <w:ilvl w:val="0"/>
          <w:numId w:val="8"/>
        </w:numPr>
        <w:spacing w:after="0" w:line="240" w:lineRule="auto"/>
        <w:rPr>
          <w:color w:val="000000" w:themeColor="text1"/>
        </w:rPr>
      </w:pPr>
      <w:r w:rsidRPr="37E59857">
        <w:rPr>
          <w:color w:val="000000" w:themeColor="text1"/>
        </w:rPr>
        <w:t xml:space="preserve">Manage budgets for specific campaigns </w:t>
      </w:r>
    </w:p>
    <w:p w14:paraId="6E19032D" w14:textId="77777777" w:rsidR="00246F9D" w:rsidRPr="00246F9D" w:rsidRDefault="00246F9D" w:rsidP="00246F9D">
      <w:pPr>
        <w:spacing w:after="0" w:line="240" w:lineRule="auto"/>
        <w:rPr>
          <w:color w:val="000000" w:themeColor="text1"/>
        </w:rPr>
      </w:pPr>
    </w:p>
    <w:p w14:paraId="3FFB7273" w14:textId="7D4C8DC1" w:rsidR="00B01211" w:rsidRPr="00B01211" w:rsidRDefault="00B01211" w:rsidP="00B01211">
      <w:pPr>
        <w:spacing w:after="0" w:line="240" w:lineRule="auto"/>
        <w:rPr>
          <w:b/>
          <w:bCs/>
          <w:color w:val="000000" w:themeColor="text1"/>
        </w:rPr>
      </w:pPr>
      <w:r w:rsidRPr="00B01211">
        <w:rPr>
          <w:b/>
          <w:bCs/>
          <w:color w:val="000000" w:themeColor="text1"/>
        </w:rPr>
        <w:t>Training</w:t>
      </w:r>
    </w:p>
    <w:p w14:paraId="6D1A375D" w14:textId="31A9025F" w:rsidR="00C05DC2" w:rsidRDefault="00C05DC2" w:rsidP="002C5CB8">
      <w:pPr>
        <w:spacing w:after="0" w:line="240" w:lineRule="auto"/>
      </w:pPr>
    </w:p>
    <w:p w14:paraId="3BCCC5C9" w14:textId="79A9892C" w:rsidR="00052B49" w:rsidRDefault="00052B49" w:rsidP="00052B49">
      <w:pPr>
        <w:pStyle w:val="ListParagraph"/>
        <w:numPr>
          <w:ilvl w:val="0"/>
          <w:numId w:val="8"/>
        </w:numPr>
        <w:spacing w:after="0" w:line="240" w:lineRule="auto"/>
        <w:rPr>
          <w:rFonts w:cs="Arial"/>
        </w:rPr>
      </w:pPr>
      <w:r>
        <w:rPr>
          <w:rFonts w:cs="Arial"/>
        </w:rPr>
        <w:t xml:space="preserve">Lead and expand Catch22’s ‘Frontline Voices’ group – </w:t>
      </w:r>
      <w:r w:rsidR="00D35686">
        <w:rPr>
          <w:rFonts w:cs="Arial"/>
        </w:rPr>
        <w:t xml:space="preserve">comprising staff from across Catch22 interested in </w:t>
      </w:r>
      <w:r w:rsidR="000949CB">
        <w:rPr>
          <w:rFonts w:cs="Arial"/>
        </w:rPr>
        <w:t>contributing to policy and campaigning work</w:t>
      </w:r>
    </w:p>
    <w:p w14:paraId="045B36B2" w14:textId="379FC1F5" w:rsidR="000949CB" w:rsidRDefault="000949CB" w:rsidP="37E59857">
      <w:pPr>
        <w:pStyle w:val="ListParagraph"/>
        <w:numPr>
          <w:ilvl w:val="0"/>
          <w:numId w:val="8"/>
        </w:numPr>
        <w:spacing w:after="0" w:line="240" w:lineRule="auto"/>
        <w:rPr>
          <w:rFonts w:cs="Arial"/>
        </w:rPr>
      </w:pPr>
      <w:r w:rsidRPr="37E59857">
        <w:rPr>
          <w:rFonts w:cs="Arial"/>
        </w:rPr>
        <w:t xml:space="preserve">Design online and in-person events for staff </w:t>
      </w:r>
      <w:r w:rsidR="00E43089" w:rsidRPr="37E59857">
        <w:rPr>
          <w:rFonts w:cs="Arial"/>
        </w:rPr>
        <w:t>interested in finding out more about policy and campaigning</w:t>
      </w:r>
    </w:p>
    <w:p w14:paraId="0360F4A6" w14:textId="7F4C7C59" w:rsidR="37E59857" w:rsidRDefault="37E59857" w:rsidP="37E59857">
      <w:pPr>
        <w:spacing w:after="0" w:line="240" w:lineRule="auto"/>
        <w:rPr>
          <w:b/>
          <w:bCs/>
        </w:rPr>
      </w:pPr>
    </w:p>
    <w:p w14:paraId="4E4118C7" w14:textId="1664DD15" w:rsidR="37E59857" w:rsidRDefault="37E59857" w:rsidP="37E59857">
      <w:pPr>
        <w:spacing w:after="0" w:line="240" w:lineRule="auto"/>
        <w:rPr>
          <w:b/>
          <w:bCs/>
        </w:rPr>
      </w:pPr>
      <w:r w:rsidRPr="37E59857">
        <w:rPr>
          <w:b/>
          <w:bCs/>
        </w:rPr>
        <w:t>Management</w:t>
      </w:r>
    </w:p>
    <w:p w14:paraId="22DD3031" w14:textId="6AB80B36" w:rsidR="37E59857" w:rsidRDefault="37E59857" w:rsidP="37E59857">
      <w:pPr>
        <w:spacing w:after="0" w:line="240" w:lineRule="auto"/>
      </w:pPr>
    </w:p>
    <w:p w14:paraId="325D3527" w14:textId="2A6044BF" w:rsidR="37E59857" w:rsidRDefault="37E59857" w:rsidP="37E59857">
      <w:pPr>
        <w:pStyle w:val="ListParagraph"/>
        <w:numPr>
          <w:ilvl w:val="0"/>
          <w:numId w:val="1"/>
        </w:numPr>
        <w:spacing w:after="0" w:line="240" w:lineRule="auto"/>
        <w:rPr>
          <w:rFonts w:eastAsia="Arial" w:cs="Arial"/>
        </w:rPr>
      </w:pPr>
      <w:r w:rsidRPr="37E59857">
        <w:t>Line-management of one policy manager with expected growth of the team within the coming year</w:t>
      </w:r>
    </w:p>
    <w:p w14:paraId="6D350B16" w14:textId="692503BF" w:rsidR="37E59857" w:rsidRDefault="37E59857" w:rsidP="37E59857">
      <w:pPr>
        <w:pStyle w:val="ListParagraph"/>
        <w:numPr>
          <w:ilvl w:val="0"/>
          <w:numId w:val="1"/>
        </w:numPr>
        <w:spacing w:after="0" w:line="240" w:lineRule="auto"/>
      </w:pPr>
      <w:r w:rsidRPr="37E59857">
        <w:t>Management of interns as needed</w:t>
      </w:r>
    </w:p>
    <w:p w14:paraId="010DCC52" w14:textId="4A1491C8" w:rsidR="37E59857" w:rsidRDefault="37E59857" w:rsidP="37E59857">
      <w:pPr>
        <w:pStyle w:val="ListParagraph"/>
        <w:numPr>
          <w:ilvl w:val="0"/>
          <w:numId w:val="1"/>
        </w:numPr>
        <w:spacing w:after="0" w:line="240" w:lineRule="auto"/>
      </w:pPr>
      <w:r w:rsidRPr="37E59857">
        <w:lastRenderedPageBreak/>
        <w:t xml:space="preserve">Management of project teams across the organisation and externally </w:t>
      </w:r>
    </w:p>
    <w:p w14:paraId="1E02F250" w14:textId="7DD169B3" w:rsidR="37E59857" w:rsidRDefault="37E59857" w:rsidP="37E59857">
      <w:pPr>
        <w:spacing w:after="0" w:line="240" w:lineRule="auto"/>
      </w:pPr>
    </w:p>
    <w:p w14:paraId="77D442F4" w14:textId="77777777" w:rsidR="00052B49" w:rsidRPr="002C5CB8" w:rsidRDefault="00052B49"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7CD189D4" w14:textId="77777777" w:rsidTr="00935F31">
        <w:tc>
          <w:tcPr>
            <w:tcW w:w="9242" w:type="dxa"/>
            <w:tcBorders>
              <w:top w:val="single" w:sz="8" w:space="0" w:color="000000"/>
              <w:bottom w:val="single" w:sz="8" w:space="0" w:color="000000"/>
            </w:tcBorders>
            <w:shd w:val="clear" w:color="auto" w:fill="F2F2F2"/>
          </w:tcPr>
          <w:p w14:paraId="21CAD170"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0DA1898C" w14:textId="77777777" w:rsidR="009A5825" w:rsidRPr="002C5CB8" w:rsidRDefault="009A5825" w:rsidP="002C5CB8">
      <w:pPr>
        <w:pStyle w:val="Default"/>
        <w:rPr>
          <w:sz w:val="22"/>
          <w:szCs w:val="22"/>
        </w:rPr>
      </w:pPr>
    </w:p>
    <w:p w14:paraId="7247B721" w14:textId="6820AC2C" w:rsidR="00A93009" w:rsidRDefault="00A93009" w:rsidP="0043145A">
      <w:pPr>
        <w:pStyle w:val="Default"/>
        <w:numPr>
          <w:ilvl w:val="0"/>
          <w:numId w:val="2"/>
        </w:numPr>
        <w:rPr>
          <w:sz w:val="22"/>
          <w:szCs w:val="22"/>
        </w:rPr>
      </w:pPr>
      <w:r>
        <w:rPr>
          <w:sz w:val="22"/>
          <w:szCs w:val="22"/>
        </w:rPr>
        <w:t xml:space="preserve">Able to provide strategic oversight of all Catch22 </w:t>
      </w:r>
      <w:r w:rsidR="00A6320C">
        <w:rPr>
          <w:sz w:val="22"/>
          <w:szCs w:val="22"/>
        </w:rPr>
        <w:t>policy and campaigning</w:t>
      </w:r>
      <w:r w:rsidR="00381A11">
        <w:rPr>
          <w:sz w:val="22"/>
          <w:szCs w:val="22"/>
        </w:rPr>
        <w:t xml:space="preserve"> work</w:t>
      </w:r>
    </w:p>
    <w:p w14:paraId="4AFD5046" w14:textId="37823989" w:rsidR="00A93009" w:rsidRDefault="00A93009" w:rsidP="0043145A">
      <w:pPr>
        <w:pStyle w:val="Default"/>
        <w:numPr>
          <w:ilvl w:val="0"/>
          <w:numId w:val="2"/>
        </w:numPr>
        <w:rPr>
          <w:sz w:val="22"/>
          <w:szCs w:val="22"/>
        </w:rPr>
      </w:pPr>
      <w:r>
        <w:rPr>
          <w:sz w:val="22"/>
          <w:szCs w:val="22"/>
        </w:rPr>
        <w:t xml:space="preserve">Able to </w:t>
      </w:r>
      <w:r w:rsidR="00A6320C">
        <w:rPr>
          <w:sz w:val="22"/>
          <w:szCs w:val="22"/>
        </w:rPr>
        <w:t xml:space="preserve">build strong relationships with policy makers </w:t>
      </w:r>
      <w:r w:rsidR="00381A11">
        <w:rPr>
          <w:sz w:val="22"/>
          <w:szCs w:val="22"/>
        </w:rPr>
        <w:t>at</w:t>
      </w:r>
      <w:r w:rsidR="00A6320C">
        <w:rPr>
          <w:sz w:val="22"/>
          <w:szCs w:val="22"/>
        </w:rPr>
        <w:t xml:space="preserve"> regional and national level</w:t>
      </w:r>
    </w:p>
    <w:p w14:paraId="5D7A0B35" w14:textId="7AE913DA" w:rsidR="00736608" w:rsidRDefault="00736608" w:rsidP="0043145A">
      <w:pPr>
        <w:pStyle w:val="Default"/>
        <w:numPr>
          <w:ilvl w:val="0"/>
          <w:numId w:val="2"/>
        </w:numPr>
        <w:rPr>
          <w:sz w:val="22"/>
          <w:szCs w:val="22"/>
        </w:rPr>
      </w:pPr>
      <w:r>
        <w:rPr>
          <w:sz w:val="22"/>
          <w:szCs w:val="22"/>
        </w:rPr>
        <w:t xml:space="preserve">Able to </w:t>
      </w:r>
      <w:r w:rsidR="00381A11">
        <w:rPr>
          <w:sz w:val="22"/>
          <w:szCs w:val="22"/>
        </w:rPr>
        <w:t xml:space="preserve">bring </w:t>
      </w:r>
      <w:r w:rsidR="00BA5B63">
        <w:rPr>
          <w:sz w:val="22"/>
          <w:szCs w:val="22"/>
        </w:rPr>
        <w:t>together information</w:t>
      </w:r>
      <w:r w:rsidR="00381A11">
        <w:rPr>
          <w:sz w:val="22"/>
          <w:szCs w:val="22"/>
        </w:rPr>
        <w:t xml:space="preserve"> from various parts of Catch22 to form compelling briefings and</w:t>
      </w:r>
      <w:r w:rsidR="00BA5B63">
        <w:rPr>
          <w:sz w:val="22"/>
          <w:szCs w:val="22"/>
        </w:rPr>
        <w:t xml:space="preserve"> policy</w:t>
      </w:r>
      <w:r w:rsidR="00381A11">
        <w:rPr>
          <w:sz w:val="22"/>
          <w:szCs w:val="22"/>
        </w:rPr>
        <w:t xml:space="preserve"> consultation responses </w:t>
      </w:r>
    </w:p>
    <w:p w14:paraId="5AAB873B" w14:textId="3DB350F8" w:rsidR="00772265" w:rsidRPr="007828F3" w:rsidRDefault="00772265" w:rsidP="00636B5F">
      <w:pPr>
        <w:pStyle w:val="Default"/>
        <w:numPr>
          <w:ilvl w:val="0"/>
          <w:numId w:val="2"/>
        </w:numPr>
        <w:rPr>
          <w:sz w:val="22"/>
          <w:szCs w:val="22"/>
        </w:rPr>
      </w:pPr>
      <w:r w:rsidRPr="007828F3">
        <w:rPr>
          <w:sz w:val="22"/>
          <w:szCs w:val="22"/>
        </w:rPr>
        <w:t xml:space="preserve">Able to keep abreast of the policy </w:t>
      </w:r>
      <w:r w:rsidR="007828F3" w:rsidRPr="007828F3">
        <w:rPr>
          <w:sz w:val="22"/>
          <w:szCs w:val="22"/>
        </w:rPr>
        <w:t>landscape in relation to our key priority areas: online harms, risk and resilience, youth employment and justice (victims services and rehabilitation)</w:t>
      </w:r>
    </w:p>
    <w:p w14:paraId="24097192" w14:textId="79D962FB" w:rsidR="00CE6A02" w:rsidRDefault="005E1B9E" w:rsidP="0043145A">
      <w:pPr>
        <w:pStyle w:val="Default"/>
        <w:numPr>
          <w:ilvl w:val="0"/>
          <w:numId w:val="2"/>
        </w:numPr>
        <w:rPr>
          <w:sz w:val="22"/>
          <w:szCs w:val="22"/>
        </w:rPr>
      </w:pPr>
      <w:r>
        <w:rPr>
          <w:sz w:val="22"/>
          <w:szCs w:val="22"/>
        </w:rPr>
        <w:t>Able to form strong working relationships with</w:t>
      </w:r>
      <w:r w:rsidR="00700CA6">
        <w:rPr>
          <w:sz w:val="22"/>
          <w:szCs w:val="22"/>
        </w:rPr>
        <w:t xml:space="preserve"> Catch22 staff </w:t>
      </w:r>
      <w:r w:rsidR="00226272">
        <w:rPr>
          <w:sz w:val="22"/>
          <w:szCs w:val="22"/>
        </w:rPr>
        <w:t>across the organisation</w:t>
      </w:r>
    </w:p>
    <w:p w14:paraId="70218CAC" w14:textId="3FB7D7D2" w:rsidR="00691C49" w:rsidRDefault="00691C49" w:rsidP="0043145A">
      <w:pPr>
        <w:pStyle w:val="Default"/>
        <w:numPr>
          <w:ilvl w:val="0"/>
          <w:numId w:val="2"/>
        </w:numPr>
        <w:rPr>
          <w:sz w:val="22"/>
          <w:szCs w:val="22"/>
        </w:rPr>
      </w:pPr>
      <w:r>
        <w:rPr>
          <w:sz w:val="22"/>
          <w:szCs w:val="22"/>
        </w:rPr>
        <w:t xml:space="preserve">Able to provide advice and support to Catch22 services </w:t>
      </w:r>
      <w:r w:rsidR="00E3385B">
        <w:rPr>
          <w:sz w:val="22"/>
          <w:szCs w:val="22"/>
        </w:rPr>
        <w:t xml:space="preserve">in </w:t>
      </w:r>
      <w:r w:rsidR="00BA5B63">
        <w:rPr>
          <w:sz w:val="22"/>
          <w:szCs w:val="22"/>
        </w:rPr>
        <w:t xml:space="preserve">relation policy and campaigning work </w:t>
      </w:r>
    </w:p>
    <w:p w14:paraId="316270EF" w14:textId="7E787597" w:rsidR="00691C49" w:rsidRDefault="00691C49" w:rsidP="0043145A">
      <w:pPr>
        <w:pStyle w:val="Default"/>
        <w:numPr>
          <w:ilvl w:val="0"/>
          <w:numId w:val="2"/>
        </w:numPr>
        <w:rPr>
          <w:sz w:val="22"/>
          <w:szCs w:val="22"/>
        </w:rPr>
      </w:pPr>
      <w:r>
        <w:rPr>
          <w:sz w:val="22"/>
          <w:szCs w:val="22"/>
        </w:rPr>
        <w:t>Able to deputise for the Director of Communications in their absence</w:t>
      </w:r>
    </w:p>
    <w:p w14:paraId="6D10CC22"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38880598" w14:textId="77777777" w:rsidTr="005E1B9E">
        <w:trPr>
          <w:trHeight w:val="634"/>
        </w:trPr>
        <w:tc>
          <w:tcPr>
            <w:tcW w:w="9242" w:type="dxa"/>
            <w:tcBorders>
              <w:top w:val="single" w:sz="8" w:space="0" w:color="000000"/>
              <w:bottom w:val="single" w:sz="8" w:space="0" w:color="000000"/>
            </w:tcBorders>
            <w:shd w:val="clear" w:color="auto" w:fill="F2F2F2"/>
          </w:tcPr>
          <w:p w14:paraId="38743800" w14:textId="77777777" w:rsidR="005E1B9E" w:rsidRDefault="00B87C51" w:rsidP="005E1B9E">
            <w:pPr>
              <w:pStyle w:val="Heading2"/>
              <w:spacing w:before="0" w:after="0" w:line="240" w:lineRule="auto"/>
              <w:rPr>
                <w:rFonts w:cs="Arial"/>
                <w:sz w:val="30"/>
                <w:szCs w:val="30"/>
              </w:rPr>
            </w:pPr>
            <w:r w:rsidRPr="002C5CB8">
              <w:rPr>
                <w:rFonts w:cs="Arial"/>
                <w:sz w:val="30"/>
                <w:szCs w:val="30"/>
              </w:rPr>
              <w:t>Organisational Relationships</w:t>
            </w:r>
          </w:p>
          <w:p w14:paraId="5D953762" w14:textId="77777777" w:rsidR="005E1B9E" w:rsidRDefault="005E1B9E" w:rsidP="005E1B9E"/>
          <w:p w14:paraId="407A8D35" w14:textId="15CA80B7" w:rsidR="005E1B9E" w:rsidRPr="005E1B9E" w:rsidRDefault="005E1B9E" w:rsidP="005E1B9E">
            <w:r>
              <w:t xml:space="preserve">This role reports to </w:t>
            </w:r>
            <w:r w:rsidR="00700CA6">
              <w:t xml:space="preserve">the </w:t>
            </w:r>
            <w:r w:rsidR="00657AA3">
              <w:t>Directo</w:t>
            </w:r>
            <w:r w:rsidR="00C92989">
              <w:t>r</w:t>
            </w:r>
            <w:r w:rsidR="00657AA3">
              <w:t xml:space="preserve"> of Communications </w:t>
            </w:r>
            <w:r w:rsidR="00C92989">
              <w:t>and Engagement and</w:t>
            </w:r>
            <w:r w:rsidR="00690CFD">
              <w:t xml:space="preserve"> </w:t>
            </w:r>
            <w:r w:rsidR="007828F3">
              <w:t xml:space="preserve">sits </w:t>
            </w:r>
            <w:r w:rsidR="00690CFD">
              <w:t xml:space="preserve">within the Communications </w:t>
            </w:r>
            <w:r w:rsidR="00CE6A02">
              <w:t>t</w:t>
            </w:r>
            <w:r w:rsidR="00690CFD">
              <w:t>eam</w:t>
            </w:r>
            <w:r w:rsidR="00A52507">
              <w:t xml:space="preserve">. </w:t>
            </w:r>
            <w:r w:rsidR="00CE6A02">
              <w:t xml:space="preserve">You will </w:t>
            </w:r>
            <w:r w:rsidR="00CF388C">
              <w:t xml:space="preserve">manage the Policy and Events Manager (Employability Programme), as well as potentially more staff as the team groups. You will </w:t>
            </w:r>
            <w:r w:rsidR="00CE6A02">
              <w:t>work closely</w:t>
            </w:r>
            <w:r w:rsidR="00C92989">
              <w:t xml:space="preserve"> with </w:t>
            </w:r>
            <w:r w:rsidR="00700CA6">
              <w:t>operational team</w:t>
            </w:r>
            <w:r w:rsidR="00C92989">
              <w:t>s</w:t>
            </w:r>
            <w:r w:rsidR="00700CA6">
              <w:t xml:space="preserve"> </w:t>
            </w:r>
            <w:r w:rsidR="00C92989">
              <w:t>across Catch22</w:t>
            </w:r>
            <w:r w:rsidR="0043145A">
              <w:t xml:space="preserve">, </w:t>
            </w:r>
            <w:r w:rsidR="00C92989">
              <w:t xml:space="preserve">the wider </w:t>
            </w:r>
            <w:r w:rsidR="00D42964">
              <w:t>Development Team</w:t>
            </w:r>
            <w:r w:rsidR="0043145A">
              <w:t xml:space="preserve"> and the Chief Officers Group.</w:t>
            </w:r>
          </w:p>
        </w:tc>
      </w:tr>
    </w:tbl>
    <w:p w14:paraId="554B5BCE"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1054FB">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0"/>
        <w:gridCol w:w="3686"/>
        <w:gridCol w:w="1754"/>
      </w:tblGrid>
      <w:tr w:rsidR="00642F7A" w:rsidRPr="002C5CB8" w14:paraId="75C6541F" w14:textId="77777777" w:rsidTr="37E59857">
        <w:tc>
          <w:tcPr>
            <w:tcW w:w="13913" w:type="dxa"/>
            <w:gridSpan w:val="4"/>
            <w:shd w:val="clear" w:color="auto" w:fill="D9D9D9" w:themeFill="background1" w:themeFillShade="D9"/>
          </w:tcPr>
          <w:p w14:paraId="470DC188"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7DEFDBAD" w14:textId="77777777" w:rsidTr="37E59857">
        <w:tc>
          <w:tcPr>
            <w:tcW w:w="2087" w:type="dxa"/>
            <w:shd w:val="clear" w:color="auto" w:fill="F2F2F2" w:themeFill="background1" w:themeFillShade="F2"/>
          </w:tcPr>
          <w:p w14:paraId="549621AC"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hemeFill="background1" w:themeFillShade="F2"/>
          </w:tcPr>
          <w:p w14:paraId="1E96996E"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hemeFill="background1" w:themeFillShade="F2"/>
          </w:tcPr>
          <w:p w14:paraId="1288D18D"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hemeFill="background1" w:themeFillShade="F2"/>
          </w:tcPr>
          <w:p w14:paraId="25DBD7BB"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799051AB" w14:textId="77777777" w:rsidTr="37E59857">
        <w:trPr>
          <w:trHeight w:val="469"/>
        </w:trPr>
        <w:tc>
          <w:tcPr>
            <w:tcW w:w="2087" w:type="dxa"/>
            <w:shd w:val="clear" w:color="auto" w:fill="FFFFFF" w:themeFill="background1"/>
          </w:tcPr>
          <w:p w14:paraId="75CB6545"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6846AD43" w14:textId="417A98B0" w:rsidR="00C05DC2" w:rsidRDefault="08FB3CA2" w:rsidP="37E59857">
            <w:pPr>
              <w:spacing w:after="0" w:line="240" w:lineRule="auto"/>
            </w:pPr>
            <w:r w:rsidRPr="37E59857">
              <w:rPr>
                <w:rFonts w:cs="Arial"/>
              </w:rPr>
              <w:t>Educated to degree level or with equivalent professional experience related to policy, public affairs and/or campaigning</w:t>
            </w:r>
          </w:p>
          <w:p w14:paraId="7A71DBF9" w14:textId="77777777" w:rsidR="00C05DC2" w:rsidRDefault="00C05DC2" w:rsidP="00C05DC2">
            <w:pPr>
              <w:spacing w:after="0" w:line="240" w:lineRule="auto"/>
              <w:rPr>
                <w:rFonts w:cs="Arial"/>
              </w:rPr>
            </w:pPr>
          </w:p>
          <w:p w14:paraId="7D10CA3A" w14:textId="77777777" w:rsidR="00C05DC2" w:rsidRPr="002C5CB8" w:rsidRDefault="00C05DC2" w:rsidP="00C05DC2">
            <w:pPr>
              <w:spacing w:after="0" w:line="240" w:lineRule="auto"/>
              <w:rPr>
                <w:rFonts w:cs="Arial"/>
              </w:rPr>
            </w:pPr>
          </w:p>
        </w:tc>
        <w:tc>
          <w:tcPr>
            <w:tcW w:w="3759" w:type="dxa"/>
            <w:shd w:val="clear" w:color="auto" w:fill="FFFFFF" w:themeFill="background1"/>
          </w:tcPr>
          <w:p w14:paraId="082B0D22" w14:textId="76213500" w:rsidR="003B2762" w:rsidRPr="002C5CB8" w:rsidRDefault="37E59857" w:rsidP="002C5CB8">
            <w:pPr>
              <w:spacing w:after="0" w:line="240" w:lineRule="auto"/>
              <w:rPr>
                <w:rFonts w:cs="Arial"/>
              </w:rPr>
            </w:pPr>
            <w:r w:rsidRPr="37E59857">
              <w:rPr>
                <w:rFonts w:cs="Arial"/>
              </w:rPr>
              <w:t xml:space="preserve">Working towards, or already achieved, a professional qualification relating to  </w:t>
            </w:r>
          </w:p>
        </w:tc>
        <w:tc>
          <w:tcPr>
            <w:tcW w:w="1755" w:type="dxa"/>
            <w:shd w:val="clear" w:color="auto" w:fill="FFFFFF" w:themeFill="background1"/>
          </w:tcPr>
          <w:p w14:paraId="76A380C7" w14:textId="77777777" w:rsidR="003B2762" w:rsidRPr="002C5CB8" w:rsidRDefault="00A52507" w:rsidP="002C5CB8">
            <w:pPr>
              <w:pStyle w:val="Quote"/>
              <w:spacing w:after="0" w:line="240" w:lineRule="auto"/>
              <w:rPr>
                <w:rFonts w:cs="Arial"/>
              </w:rPr>
            </w:pPr>
            <w:r>
              <w:rPr>
                <w:rFonts w:cs="Arial"/>
              </w:rPr>
              <w:t>Application</w:t>
            </w:r>
          </w:p>
        </w:tc>
      </w:tr>
      <w:tr w:rsidR="003B2762" w:rsidRPr="002C5CB8" w14:paraId="2CE4E862" w14:textId="77777777" w:rsidTr="37E59857">
        <w:tc>
          <w:tcPr>
            <w:tcW w:w="2087" w:type="dxa"/>
            <w:shd w:val="clear" w:color="auto" w:fill="FFFFFF" w:themeFill="background1"/>
          </w:tcPr>
          <w:p w14:paraId="309A053B"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3CA8DEF4" w14:textId="2113295D" w:rsidR="00C05DC2" w:rsidRDefault="00FF0F00" w:rsidP="00C05DC2">
            <w:pPr>
              <w:spacing w:after="0" w:line="240" w:lineRule="auto"/>
              <w:rPr>
                <w:rFonts w:cs="Arial"/>
              </w:rPr>
            </w:pPr>
            <w:r>
              <w:rPr>
                <w:rFonts w:cs="Arial"/>
              </w:rPr>
              <w:t xml:space="preserve">Knowledge of </w:t>
            </w:r>
            <w:r w:rsidR="00E06BAA">
              <w:rPr>
                <w:rFonts w:cs="Arial"/>
              </w:rPr>
              <w:t xml:space="preserve">the UK parliamentary system, including </w:t>
            </w:r>
            <w:r w:rsidR="001853AC">
              <w:rPr>
                <w:rFonts w:cs="Arial"/>
              </w:rPr>
              <w:t>when and how to influence</w:t>
            </w:r>
            <w:r w:rsidR="003C67C7">
              <w:rPr>
                <w:rFonts w:cs="Arial"/>
              </w:rPr>
              <w:t xml:space="preserve"> national</w:t>
            </w:r>
            <w:r w:rsidR="001853AC">
              <w:rPr>
                <w:rFonts w:cs="Arial"/>
              </w:rPr>
              <w:t xml:space="preserve"> policy development</w:t>
            </w:r>
          </w:p>
          <w:p w14:paraId="407BEE28" w14:textId="77777777" w:rsidR="00AA4B6F" w:rsidRDefault="00AA4B6F" w:rsidP="00C05DC2">
            <w:pPr>
              <w:spacing w:after="0" w:line="240" w:lineRule="auto"/>
              <w:rPr>
                <w:rFonts w:cs="Arial"/>
              </w:rPr>
            </w:pPr>
          </w:p>
          <w:p w14:paraId="481C8B9A" w14:textId="47611265" w:rsidR="00AA4B6F" w:rsidRDefault="00AA4B6F" w:rsidP="00C05DC2">
            <w:pPr>
              <w:spacing w:after="0" w:line="240" w:lineRule="auto"/>
              <w:rPr>
                <w:rFonts w:cs="Arial"/>
              </w:rPr>
            </w:pPr>
            <w:r>
              <w:rPr>
                <w:rFonts w:cs="Arial"/>
              </w:rPr>
              <w:t xml:space="preserve">Knowledge </w:t>
            </w:r>
            <w:r w:rsidR="001853AC">
              <w:rPr>
                <w:rFonts w:cs="Arial"/>
              </w:rPr>
              <w:t xml:space="preserve">of how local and regional government works </w:t>
            </w:r>
          </w:p>
          <w:p w14:paraId="720B91B1" w14:textId="40E12DCF" w:rsidR="00806EC8" w:rsidRDefault="00806EC8" w:rsidP="00C05DC2">
            <w:pPr>
              <w:spacing w:after="0" w:line="240" w:lineRule="auto"/>
              <w:rPr>
                <w:rFonts w:cs="Arial"/>
              </w:rPr>
            </w:pPr>
          </w:p>
          <w:p w14:paraId="19A73771" w14:textId="3745E78F" w:rsidR="00806EC8" w:rsidRDefault="00806EC8" w:rsidP="00C05DC2">
            <w:pPr>
              <w:spacing w:after="0" w:line="240" w:lineRule="auto"/>
              <w:rPr>
                <w:rFonts w:cs="Arial"/>
              </w:rPr>
            </w:pPr>
            <w:r>
              <w:rPr>
                <w:rFonts w:cs="Arial"/>
              </w:rPr>
              <w:t>Knowledge of effective public affairs</w:t>
            </w:r>
            <w:r w:rsidR="00E02BD8">
              <w:rPr>
                <w:rFonts w:cs="Arial"/>
              </w:rPr>
              <w:t>/lobbying techniques</w:t>
            </w:r>
          </w:p>
          <w:p w14:paraId="02E65106" w14:textId="6857AB93" w:rsidR="00806EC8" w:rsidRDefault="00806EC8" w:rsidP="00C05DC2">
            <w:pPr>
              <w:spacing w:after="0" w:line="240" w:lineRule="auto"/>
              <w:rPr>
                <w:rFonts w:cs="Arial"/>
              </w:rPr>
            </w:pPr>
          </w:p>
          <w:p w14:paraId="36F66E46" w14:textId="26F15224" w:rsidR="00E3385B" w:rsidRDefault="00E3385B" w:rsidP="00C05DC2">
            <w:pPr>
              <w:spacing w:after="0" w:line="240" w:lineRule="auto"/>
              <w:rPr>
                <w:rFonts w:cs="Arial"/>
              </w:rPr>
            </w:pPr>
          </w:p>
          <w:p w14:paraId="0D15EA37" w14:textId="5BB95822" w:rsidR="00EF6200" w:rsidRPr="002C5CB8" w:rsidRDefault="00EF6200" w:rsidP="00F47992">
            <w:pPr>
              <w:spacing w:after="0" w:line="240" w:lineRule="auto"/>
              <w:rPr>
                <w:rFonts w:cs="Arial"/>
              </w:rPr>
            </w:pPr>
          </w:p>
        </w:tc>
        <w:tc>
          <w:tcPr>
            <w:tcW w:w="3759" w:type="dxa"/>
            <w:shd w:val="clear" w:color="auto" w:fill="FFFFFF" w:themeFill="background1"/>
          </w:tcPr>
          <w:p w14:paraId="65D3049C" w14:textId="77777777" w:rsidR="00A52507" w:rsidRDefault="00CF388C" w:rsidP="002C5CB8">
            <w:pPr>
              <w:spacing w:after="0" w:line="240" w:lineRule="auto"/>
              <w:rPr>
                <w:rFonts w:cs="Arial"/>
              </w:rPr>
            </w:pPr>
            <w:r>
              <w:rPr>
                <w:rFonts w:cs="Arial"/>
              </w:rPr>
              <w:t xml:space="preserve">Knowledge of parliamentary monitoring </w:t>
            </w:r>
            <w:r w:rsidR="00E06BAA">
              <w:rPr>
                <w:rFonts w:cs="Arial"/>
              </w:rPr>
              <w:t>tools (e.g. Randalls)</w:t>
            </w:r>
          </w:p>
          <w:p w14:paraId="13D7A31D" w14:textId="77777777" w:rsidR="005C448D" w:rsidRDefault="005C448D" w:rsidP="002C5CB8">
            <w:pPr>
              <w:spacing w:after="0" w:line="240" w:lineRule="auto"/>
              <w:rPr>
                <w:rFonts w:cs="Arial"/>
              </w:rPr>
            </w:pPr>
          </w:p>
          <w:p w14:paraId="6D8FC899" w14:textId="77777777" w:rsidR="00F47992" w:rsidRDefault="00F47992" w:rsidP="00F47992">
            <w:pPr>
              <w:spacing w:after="0" w:line="240" w:lineRule="auto"/>
              <w:rPr>
                <w:rFonts w:cs="Arial"/>
              </w:rPr>
            </w:pPr>
            <w:r>
              <w:rPr>
                <w:rFonts w:cs="Arial"/>
              </w:rPr>
              <w:t xml:space="preserve">Knowledge of the policy landscape in relation to one or more of the following: </w:t>
            </w:r>
            <w:r w:rsidRPr="007828F3">
              <w:t>online harms, risk and resilience</w:t>
            </w:r>
            <w:r>
              <w:t xml:space="preserve"> (including child exploitation and county lines)</w:t>
            </w:r>
            <w:r w:rsidRPr="007828F3">
              <w:t>, youth employment and justice (victims services and rehabilitation)</w:t>
            </w:r>
          </w:p>
          <w:p w14:paraId="0175F795" w14:textId="4A47C1D5" w:rsidR="005C448D" w:rsidRPr="002C5CB8" w:rsidRDefault="005C448D" w:rsidP="002C5CB8">
            <w:pPr>
              <w:spacing w:after="0" w:line="240" w:lineRule="auto"/>
              <w:rPr>
                <w:rFonts w:cs="Arial"/>
              </w:rPr>
            </w:pPr>
          </w:p>
        </w:tc>
        <w:tc>
          <w:tcPr>
            <w:tcW w:w="1755" w:type="dxa"/>
            <w:shd w:val="clear" w:color="auto" w:fill="FFFFFF" w:themeFill="background1"/>
          </w:tcPr>
          <w:p w14:paraId="25A7AEAD" w14:textId="77777777" w:rsidR="003B2762" w:rsidRPr="002C5CB8" w:rsidRDefault="00A52507" w:rsidP="002C5CB8">
            <w:pPr>
              <w:spacing w:after="0" w:line="240" w:lineRule="auto"/>
              <w:rPr>
                <w:rFonts w:cs="Arial"/>
              </w:rPr>
            </w:pPr>
            <w:r>
              <w:rPr>
                <w:rFonts w:cs="Arial"/>
              </w:rPr>
              <w:t>Application and interview</w:t>
            </w:r>
          </w:p>
        </w:tc>
      </w:tr>
      <w:tr w:rsidR="00042330" w:rsidRPr="002C5CB8" w14:paraId="2B109FC2" w14:textId="77777777" w:rsidTr="37E59857">
        <w:tc>
          <w:tcPr>
            <w:tcW w:w="2087" w:type="dxa"/>
            <w:shd w:val="clear" w:color="auto" w:fill="FFFFFF" w:themeFill="background1"/>
          </w:tcPr>
          <w:p w14:paraId="64B3CC28" w14:textId="77777777" w:rsidR="00042330" w:rsidRPr="002C5CB8" w:rsidRDefault="00042330" w:rsidP="002C5CB8">
            <w:pPr>
              <w:pStyle w:val="Quote"/>
              <w:spacing w:after="0" w:line="240" w:lineRule="auto"/>
              <w:rPr>
                <w:rFonts w:cs="Arial"/>
                <w:b/>
              </w:rPr>
            </w:pPr>
            <w:r w:rsidRPr="002C5CB8">
              <w:rPr>
                <w:rFonts w:cs="Arial"/>
                <w:b/>
              </w:rPr>
              <w:t>EXPERIENCE</w:t>
            </w:r>
          </w:p>
          <w:p w14:paraId="60AC06D7" w14:textId="77777777" w:rsidR="00042330" w:rsidRPr="002C5CB8" w:rsidRDefault="00042330" w:rsidP="002C5CB8">
            <w:pPr>
              <w:spacing w:after="0" w:line="240" w:lineRule="auto"/>
              <w:rPr>
                <w:rFonts w:cs="Arial"/>
              </w:rPr>
            </w:pPr>
          </w:p>
        </w:tc>
        <w:tc>
          <w:tcPr>
            <w:tcW w:w="6312" w:type="dxa"/>
          </w:tcPr>
          <w:p w14:paraId="428F4244" w14:textId="7BD64154" w:rsidR="00A52507" w:rsidRDefault="1F93DC72" w:rsidP="00C05DC2">
            <w:pPr>
              <w:spacing w:after="0" w:line="240" w:lineRule="auto"/>
              <w:rPr>
                <w:rFonts w:cs="Arial"/>
              </w:rPr>
            </w:pPr>
            <w:r w:rsidRPr="37E59857">
              <w:rPr>
                <w:rFonts w:cs="Arial"/>
              </w:rPr>
              <w:t xml:space="preserve">Proven experience </w:t>
            </w:r>
            <w:r w:rsidR="3F968EB1" w:rsidRPr="37E59857">
              <w:rPr>
                <w:rFonts w:cs="Arial"/>
              </w:rPr>
              <w:t xml:space="preserve">of delivering </w:t>
            </w:r>
            <w:r w:rsidR="3A956577" w:rsidRPr="37E59857">
              <w:rPr>
                <w:rFonts w:cs="Arial"/>
              </w:rPr>
              <w:t>impactful campaigns that have resulted in policy change</w:t>
            </w:r>
          </w:p>
          <w:p w14:paraId="0CEE1495" w14:textId="77777777" w:rsidR="00CE6A02" w:rsidRDefault="00CE6A02" w:rsidP="00C05DC2">
            <w:pPr>
              <w:spacing w:after="0" w:line="240" w:lineRule="auto"/>
              <w:rPr>
                <w:rFonts w:cs="Arial"/>
              </w:rPr>
            </w:pPr>
          </w:p>
          <w:p w14:paraId="24983E7F" w14:textId="4162B65B" w:rsidR="00CE6A02" w:rsidRDefault="41720842" w:rsidP="00C05DC2">
            <w:pPr>
              <w:spacing w:after="0" w:line="240" w:lineRule="auto"/>
              <w:rPr>
                <w:rFonts w:cs="Arial"/>
              </w:rPr>
            </w:pPr>
            <w:r w:rsidRPr="37E59857">
              <w:rPr>
                <w:rFonts w:cs="Arial"/>
              </w:rPr>
              <w:t xml:space="preserve">Proven experience of </w:t>
            </w:r>
            <w:r w:rsidR="723429A3" w:rsidRPr="37E59857">
              <w:rPr>
                <w:rFonts w:cs="Arial"/>
              </w:rPr>
              <w:t>writing policy consultation responses</w:t>
            </w:r>
          </w:p>
          <w:p w14:paraId="43B50EA1" w14:textId="09FDBC8B" w:rsidR="005640B9" w:rsidRDefault="005640B9" w:rsidP="00C05DC2">
            <w:pPr>
              <w:spacing w:after="0" w:line="240" w:lineRule="auto"/>
              <w:rPr>
                <w:rFonts w:cs="Arial"/>
              </w:rPr>
            </w:pPr>
          </w:p>
          <w:p w14:paraId="6636D28C" w14:textId="5BC5BE8E" w:rsidR="005640B9" w:rsidRDefault="005640B9" w:rsidP="00C05DC2">
            <w:pPr>
              <w:spacing w:after="0" w:line="240" w:lineRule="auto"/>
              <w:rPr>
                <w:rFonts w:cs="Arial"/>
              </w:rPr>
            </w:pPr>
            <w:r>
              <w:rPr>
                <w:rFonts w:cs="Arial"/>
              </w:rPr>
              <w:t>Experience of</w:t>
            </w:r>
            <w:r w:rsidR="001458A9">
              <w:rPr>
                <w:rFonts w:cs="Arial"/>
              </w:rPr>
              <w:t xml:space="preserve"> </w:t>
            </w:r>
            <w:r w:rsidR="00E3385B">
              <w:rPr>
                <w:rFonts w:cs="Arial"/>
              </w:rPr>
              <w:t xml:space="preserve">developing tailored content for audiences </w:t>
            </w:r>
            <w:r w:rsidR="00C40CFC">
              <w:rPr>
                <w:rFonts w:cs="Arial"/>
              </w:rPr>
              <w:t xml:space="preserve">– </w:t>
            </w:r>
            <w:r w:rsidR="00FF100E">
              <w:rPr>
                <w:rFonts w:cs="Arial"/>
              </w:rPr>
              <w:t>including blogs, briefings and presentations</w:t>
            </w:r>
          </w:p>
          <w:p w14:paraId="7FA2419C" w14:textId="5CDAD623" w:rsidR="001F15B8" w:rsidRDefault="001F15B8" w:rsidP="00C05DC2">
            <w:pPr>
              <w:spacing w:after="0" w:line="240" w:lineRule="auto"/>
              <w:rPr>
                <w:rFonts w:cs="Arial"/>
              </w:rPr>
            </w:pPr>
          </w:p>
          <w:p w14:paraId="5255D966" w14:textId="507F86BE" w:rsidR="00806EC8" w:rsidRDefault="00806EC8" w:rsidP="00C05DC2">
            <w:pPr>
              <w:spacing w:after="0" w:line="240" w:lineRule="auto"/>
              <w:rPr>
                <w:rFonts w:cs="Arial"/>
              </w:rPr>
            </w:pPr>
            <w:r>
              <w:rPr>
                <w:rFonts w:cs="Arial"/>
              </w:rPr>
              <w:t>Experience of hosting and planning political visits and policy roundtable events</w:t>
            </w:r>
          </w:p>
          <w:p w14:paraId="0EBBF5B6" w14:textId="77777777" w:rsidR="001F15B8" w:rsidRPr="002C5CB8" w:rsidRDefault="001F15B8" w:rsidP="00C05DC2">
            <w:pPr>
              <w:spacing w:after="0" w:line="240" w:lineRule="auto"/>
              <w:rPr>
                <w:rFonts w:cs="Arial"/>
              </w:rPr>
            </w:pPr>
          </w:p>
        </w:tc>
        <w:tc>
          <w:tcPr>
            <w:tcW w:w="3759" w:type="dxa"/>
            <w:shd w:val="clear" w:color="auto" w:fill="FFFFFF" w:themeFill="background1"/>
          </w:tcPr>
          <w:p w14:paraId="5BCDFA4B" w14:textId="7FE891F1" w:rsidR="00A52507" w:rsidRDefault="0066758E" w:rsidP="002C5CB8">
            <w:pPr>
              <w:spacing w:after="0" w:line="240" w:lineRule="auto"/>
              <w:rPr>
                <w:rFonts w:cs="Arial"/>
              </w:rPr>
            </w:pPr>
            <w:r>
              <w:rPr>
                <w:rFonts w:cs="Arial"/>
              </w:rPr>
              <w:t xml:space="preserve">Experience </w:t>
            </w:r>
            <w:r w:rsidR="005640B9">
              <w:rPr>
                <w:rFonts w:cs="Arial"/>
              </w:rPr>
              <w:t xml:space="preserve">of </w:t>
            </w:r>
            <w:r w:rsidR="00077B57">
              <w:rPr>
                <w:rFonts w:cs="Arial"/>
              </w:rPr>
              <w:t>managing a small team</w:t>
            </w:r>
          </w:p>
          <w:p w14:paraId="0AD8317D" w14:textId="77777777" w:rsidR="00A52507" w:rsidRDefault="00A52507" w:rsidP="002C5CB8">
            <w:pPr>
              <w:spacing w:after="0" w:line="240" w:lineRule="auto"/>
              <w:rPr>
                <w:rFonts w:cs="Arial"/>
              </w:rPr>
            </w:pPr>
          </w:p>
          <w:p w14:paraId="5C7BCB0A" w14:textId="77777777" w:rsidR="005640B9" w:rsidRDefault="005640B9" w:rsidP="002C5CB8">
            <w:pPr>
              <w:spacing w:after="0" w:line="240" w:lineRule="auto"/>
              <w:rPr>
                <w:rFonts w:cs="Arial"/>
              </w:rPr>
            </w:pPr>
            <w:r>
              <w:rPr>
                <w:rFonts w:cs="Arial"/>
              </w:rPr>
              <w:t xml:space="preserve">Experience </w:t>
            </w:r>
            <w:r w:rsidR="003A6A65">
              <w:rPr>
                <w:rFonts w:cs="Arial"/>
              </w:rPr>
              <w:t>of working in coalitions to drive policy change</w:t>
            </w:r>
          </w:p>
          <w:p w14:paraId="0C7393E5" w14:textId="77777777" w:rsidR="003B7956" w:rsidRDefault="003B7956" w:rsidP="002C5CB8">
            <w:pPr>
              <w:spacing w:after="0" w:line="240" w:lineRule="auto"/>
              <w:rPr>
                <w:rFonts w:cs="Arial"/>
              </w:rPr>
            </w:pPr>
          </w:p>
          <w:p w14:paraId="0807EB69" w14:textId="4EDF47B5" w:rsidR="003B7956" w:rsidRPr="002C5CB8" w:rsidRDefault="003B7956" w:rsidP="002C5CB8">
            <w:pPr>
              <w:spacing w:after="0" w:line="240" w:lineRule="auto"/>
              <w:rPr>
                <w:rFonts w:cs="Arial"/>
              </w:rPr>
            </w:pPr>
            <w:r>
              <w:rPr>
                <w:rFonts w:cs="Arial"/>
              </w:rPr>
              <w:t xml:space="preserve">Experience of having </w:t>
            </w:r>
            <w:r w:rsidR="00806EC8">
              <w:rPr>
                <w:rFonts w:cs="Arial"/>
              </w:rPr>
              <w:t>run fringe events at political party conferences</w:t>
            </w:r>
          </w:p>
        </w:tc>
        <w:tc>
          <w:tcPr>
            <w:tcW w:w="1755" w:type="dxa"/>
            <w:shd w:val="clear" w:color="auto" w:fill="FFFFFF" w:themeFill="background1"/>
          </w:tcPr>
          <w:p w14:paraId="32DEDEA8" w14:textId="77777777" w:rsidR="00042330" w:rsidRPr="002C5CB8" w:rsidRDefault="00A52507" w:rsidP="002C5CB8">
            <w:pPr>
              <w:pStyle w:val="Quote"/>
              <w:spacing w:after="0" w:line="240" w:lineRule="auto"/>
              <w:rPr>
                <w:rFonts w:cs="Arial"/>
              </w:rPr>
            </w:pPr>
            <w:r>
              <w:rPr>
                <w:rFonts w:cs="Arial"/>
              </w:rPr>
              <w:t>Application and interview</w:t>
            </w:r>
          </w:p>
        </w:tc>
      </w:tr>
      <w:tr w:rsidR="003B2762" w:rsidRPr="002C5CB8" w14:paraId="64889998" w14:textId="77777777" w:rsidTr="37E59857">
        <w:tc>
          <w:tcPr>
            <w:tcW w:w="2087" w:type="dxa"/>
            <w:shd w:val="clear" w:color="auto" w:fill="FFFFFF" w:themeFill="background1"/>
          </w:tcPr>
          <w:p w14:paraId="37CDAF51" w14:textId="77777777" w:rsidR="003B2762" w:rsidRPr="002C5CB8" w:rsidRDefault="003B2762" w:rsidP="002C5CB8">
            <w:pPr>
              <w:pStyle w:val="Quote"/>
              <w:spacing w:after="0" w:line="240" w:lineRule="auto"/>
              <w:rPr>
                <w:rFonts w:cs="Arial"/>
                <w:b/>
              </w:rPr>
            </w:pPr>
            <w:r w:rsidRPr="002C5CB8">
              <w:rPr>
                <w:rFonts w:cs="Arial"/>
                <w:b/>
              </w:rPr>
              <w:t>SKILLS &amp; ABILITIES</w:t>
            </w:r>
          </w:p>
        </w:tc>
        <w:tc>
          <w:tcPr>
            <w:tcW w:w="6312" w:type="dxa"/>
          </w:tcPr>
          <w:p w14:paraId="68CB8818" w14:textId="49C7E1D7" w:rsidR="00A52507" w:rsidRDefault="00CE6A02" w:rsidP="00A52507">
            <w:pPr>
              <w:pStyle w:val="ListParagraph"/>
              <w:spacing w:after="160" w:line="259" w:lineRule="auto"/>
              <w:ind w:left="0"/>
              <w:contextualSpacing/>
            </w:pPr>
            <w:r>
              <w:t>Ability to work well under pressure</w:t>
            </w:r>
          </w:p>
          <w:p w14:paraId="142FDA69" w14:textId="73BA202A" w:rsidR="005C448D" w:rsidRDefault="005C448D" w:rsidP="00A52507">
            <w:pPr>
              <w:pStyle w:val="ListParagraph"/>
              <w:spacing w:after="160" w:line="259" w:lineRule="auto"/>
              <w:ind w:left="0"/>
              <w:contextualSpacing/>
            </w:pPr>
            <w:r>
              <w:br/>
              <w:t>Ability to grasp new policy areas quickly</w:t>
            </w:r>
          </w:p>
          <w:p w14:paraId="0CCA8ABA" w14:textId="77777777" w:rsidR="005640B9" w:rsidRDefault="005640B9" w:rsidP="00A52507">
            <w:pPr>
              <w:pStyle w:val="ListParagraph"/>
              <w:spacing w:after="160" w:line="259" w:lineRule="auto"/>
              <w:ind w:left="0"/>
              <w:contextualSpacing/>
            </w:pPr>
          </w:p>
          <w:p w14:paraId="63310078" w14:textId="5138BA37" w:rsidR="00CE6A02" w:rsidRDefault="00CE6A02" w:rsidP="00A52507">
            <w:pPr>
              <w:pStyle w:val="ListParagraph"/>
              <w:spacing w:after="160" w:line="259" w:lineRule="auto"/>
              <w:ind w:left="0"/>
              <w:contextualSpacing/>
            </w:pPr>
            <w:r>
              <w:lastRenderedPageBreak/>
              <w:t>Highly organised</w:t>
            </w:r>
          </w:p>
          <w:p w14:paraId="084CB61D" w14:textId="77777777" w:rsidR="005640B9" w:rsidRPr="00A52507" w:rsidRDefault="005640B9" w:rsidP="00A52507">
            <w:pPr>
              <w:pStyle w:val="ListParagraph"/>
              <w:spacing w:after="160" w:line="259" w:lineRule="auto"/>
              <w:ind w:left="0"/>
              <w:contextualSpacing/>
            </w:pPr>
          </w:p>
          <w:p w14:paraId="69EBF02E" w14:textId="01F319C1" w:rsidR="00A52507" w:rsidRDefault="00A52507" w:rsidP="00A52507">
            <w:pPr>
              <w:pStyle w:val="ListParagraph"/>
              <w:spacing w:after="160" w:line="259" w:lineRule="auto"/>
              <w:ind w:left="0"/>
              <w:contextualSpacing/>
            </w:pPr>
            <w:r w:rsidRPr="00A52507">
              <w:t>Excellent copywriting skills and strong attention to detail</w:t>
            </w:r>
          </w:p>
          <w:p w14:paraId="662FC2D3" w14:textId="77777777" w:rsidR="005640B9" w:rsidRPr="00A52507" w:rsidRDefault="005640B9" w:rsidP="00A52507">
            <w:pPr>
              <w:pStyle w:val="ListParagraph"/>
              <w:spacing w:after="160" w:line="259" w:lineRule="auto"/>
              <w:ind w:left="0"/>
              <w:contextualSpacing/>
            </w:pPr>
          </w:p>
          <w:p w14:paraId="1B6A06D4" w14:textId="77777777" w:rsidR="00C05DC2" w:rsidRDefault="00A52507" w:rsidP="00A52507">
            <w:pPr>
              <w:pStyle w:val="ListParagraph"/>
              <w:spacing w:after="160" w:line="259" w:lineRule="auto"/>
              <w:ind w:left="0"/>
              <w:contextualSpacing/>
            </w:pPr>
            <w:r w:rsidRPr="00A52507">
              <w:t xml:space="preserve">Ability to present complex information in </w:t>
            </w:r>
            <w:r w:rsidR="001F15B8">
              <w:t>an accessible way</w:t>
            </w:r>
            <w:r w:rsidRPr="00A52507">
              <w:t xml:space="preserve"> </w:t>
            </w:r>
          </w:p>
          <w:p w14:paraId="4D94BEFE" w14:textId="77777777" w:rsidR="0066758E" w:rsidRDefault="0066758E" w:rsidP="0066758E">
            <w:pPr>
              <w:spacing w:after="0" w:line="240" w:lineRule="auto"/>
              <w:rPr>
                <w:color w:val="000000"/>
              </w:rPr>
            </w:pPr>
            <w:r>
              <w:rPr>
                <w:color w:val="000000"/>
              </w:rPr>
              <w:t>Ability to multi-task</w:t>
            </w:r>
          </w:p>
          <w:p w14:paraId="5E6FF727" w14:textId="77777777" w:rsidR="007F7A13" w:rsidRDefault="007F7A13" w:rsidP="0066758E">
            <w:pPr>
              <w:spacing w:after="0" w:line="240" w:lineRule="auto"/>
              <w:rPr>
                <w:color w:val="000000"/>
              </w:rPr>
            </w:pPr>
          </w:p>
          <w:p w14:paraId="08698E0E" w14:textId="49185F46" w:rsidR="007F7A13" w:rsidRDefault="007F7A13" w:rsidP="0066758E">
            <w:pPr>
              <w:spacing w:after="0" w:line="240" w:lineRule="auto"/>
              <w:rPr>
                <w:color w:val="000000"/>
              </w:rPr>
            </w:pPr>
            <w:r>
              <w:rPr>
                <w:color w:val="000000"/>
              </w:rPr>
              <w:t>Good inter-personal skil</w:t>
            </w:r>
            <w:r w:rsidR="005640B9">
              <w:rPr>
                <w:color w:val="000000"/>
              </w:rPr>
              <w:t>l</w:t>
            </w:r>
            <w:r>
              <w:rPr>
                <w:color w:val="000000"/>
              </w:rPr>
              <w:t>s</w:t>
            </w:r>
          </w:p>
          <w:p w14:paraId="547B5E5D" w14:textId="77777777" w:rsidR="0066758E" w:rsidRPr="00A52507" w:rsidRDefault="0066758E" w:rsidP="00A52507">
            <w:pPr>
              <w:pStyle w:val="ListParagraph"/>
              <w:spacing w:after="160" w:line="259" w:lineRule="auto"/>
              <w:ind w:left="0"/>
              <w:contextualSpacing/>
            </w:pPr>
          </w:p>
          <w:p w14:paraId="1BE0073B" w14:textId="77777777" w:rsidR="00C05DC2" w:rsidRPr="00A52507" w:rsidRDefault="00C05DC2" w:rsidP="00C05DC2">
            <w:pPr>
              <w:spacing w:after="0" w:line="240" w:lineRule="auto"/>
              <w:rPr>
                <w:rFonts w:cs="Arial"/>
              </w:rPr>
            </w:pPr>
          </w:p>
        </w:tc>
        <w:tc>
          <w:tcPr>
            <w:tcW w:w="3759" w:type="dxa"/>
            <w:shd w:val="clear" w:color="auto" w:fill="FFFFFF" w:themeFill="background1"/>
          </w:tcPr>
          <w:p w14:paraId="7C82160E" w14:textId="33D33C95" w:rsidR="003B2762" w:rsidRPr="00A52507" w:rsidRDefault="003B2762" w:rsidP="002C5CB8">
            <w:pPr>
              <w:spacing w:after="0" w:line="240" w:lineRule="auto"/>
              <w:rPr>
                <w:rFonts w:cs="Arial"/>
              </w:rPr>
            </w:pPr>
          </w:p>
        </w:tc>
        <w:tc>
          <w:tcPr>
            <w:tcW w:w="1755" w:type="dxa"/>
            <w:shd w:val="clear" w:color="auto" w:fill="FFFFFF" w:themeFill="background1"/>
          </w:tcPr>
          <w:p w14:paraId="25951D0F" w14:textId="77777777" w:rsidR="003B2762" w:rsidRPr="002C5CB8" w:rsidRDefault="00A52507" w:rsidP="002C5CB8">
            <w:pPr>
              <w:pStyle w:val="Quote"/>
              <w:spacing w:after="0" w:line="240" w:lineRule="auto"/>
              <w:rPr>
                <w:rFonts w:cs="Arial"/>
              </w:rPr>
            </w:pPr>
            <w:r>
              <w:rPr>
                <w:rFonts w:cs="Arial"/>
              </w:rPr>
              <w:t>Application and interview</w:t>
            </w:r>
          </w:p>
        </w:tc>
      </w:tr>
      <w:tr w:rsidR="003B2762" w:rsidRPr="002C5CB8" w14:paraId="4889246A" w14:textId="77777777" w:rsidTr="37E59857">
        <w:tc>
          <w:tcPr>
            <w:tcW w:w="2087" w:type="dxa"/>
            <w:shd w:val="clear" w:color="auto" w:fill="FFFFFF" w:themeFill="background1"/>
          </w:tcPr>
          <w:p w14:paraId="6779518E" w14:textId="77777777" w:rsidR="003B2762" w:rsidRPr="002C5CB8" w:rsidRDefault="003B2762" w:rsidP="002C5CB8">
            <w:pPr>
              <w:pStyle w:val="Quote"/>
              <w:spacing w:after="0" w:line="240" w:lineRule="auto"/>
              <w:rPr>
                <w:rFonts w:cs="Arial"/>
                <w:b/>
              </w:rPr>
            </w:pPr>
            <w:r w:rsidRPr="002C5CB8">
              <w:rPr>
                <w:rFonts w:cs="Arial"/>
                <w:b/>
              </w:rPr>
              <w:t>OTHER</w:t>
            </w:r>
          </w:p>
        </w:tc>
        <w:tc>
          <w:tcPr>
            <w:tcW w:w="6312" w:type="dxa"/>
          </w:tcPr>
          <w:p w14:paraId="343A9FA9" w14:textId="77777777" w:rsidR="00746FB2" w:rsidRPr="002C5CB8" w:rsidRDefault="00746FB2" w:rsidP="002C5CB8">
            <w:pPr>
              <w:spacing w:after="0" w:line="240" w:lineRule="auto"/>
              <w:rPr>
                <w:rFonts w:cs="Arial"/>
              </w:rPr>
            </w:pPr>
            <w:r w:rsidRPr="002C5CB8">
              <w:rPr>
                <w:rFonts w:cs="Arial"/>
              </w:rPr>
              <w:t>Share</w:t>
            </w:r>
            <w:r w:rsidR="00962BA2">
              <w:rPr>
                <w:rFonts w:cs="Arial"/>
              </w:rPr>
              <w:t xml:space="preserve"> </w:t>
            </w:r>
            <w:r w:rsidRPr="002C5CB8">
              <w:rPr>
                <w:rFonts w:cs="Arial"/>
              </w:rPr>
              <w:t>Catch22 values</w:t>
            </w:r>
          </w:p>
          <w:p w14:paraId="480BDF86" w14:textId="77777777" w:rsidR="003B2762" w:rsidRPr="002C5CB8" w:rsidRDefault="003B2762" w:rsidP="002C5CB8">
            <w:pPr>
              <w:spacing w:after="0" w:line="240" w:lineRule="auto"/>
              <w:rPr>
                <w:rFonts w:cs="Arial"/>
              </w:rPr>
            </w:pPr>
            <w:r w:rsidRPr="002C5CB8">
              <w:rPr>
                <w:rFonts w:cs="Arial"/>
              </w:rPr>
              <w:t>Awareness of and com</w:t>
            </w:r>
            <w:r w:rsidR="002C5CB8">
              <w:rPr>
                <w:rFonts w:cs="Arial"/>
              </w:rPr>
              <w:t>mitment to Equality &amp; Diversity</w:t>
            </w:r>
          </w:p>
          <w:p w14:paraId="0A8AFC50" w14:textId="77777777" w:rsidR="003B2762" w:rsidRDefault="002C5CB8" w:rsidP="002C5CB8">
            <w:pPr>
              <w:spacing w:after="0" w:line="240" w:lineRule="auto"/>
              <w:rPr>
                <w:rFonts w:cs="Arial"/>
              </w:rPr>
            </w:pPr>
            <w:r w:rsidRPr="002C5CB8">
              <w:rPr>
                <w:rFonts w:cs="Arial"/>
              </w:rPr>
              <w:t>Desire</w:t>
            </w:r>
            <w:r w:rsidR="00746FB2" w:rsidRPr="002C5CB8">
              <w:rPr>
                <w:rFonts w:cs="Arial"/>
              </w:rPr>
              <w:t xml:space="preserve"> to develop and undertake training </w:t>
            </w:r>
            <w:r>
              <w:rPr>
                <w:rFonts w:cs="Arial"/>
              </w:rPr>
              <w:t>as required</w:t>
            </w:r>
          </w:p>
          <w:p w14:paraId="10FE3A5E" w14:textId="77777777" w:rsidR="002C5CB8" w:rsidRPr="002C5CB8" w:rsidRDefault="002C5CB8" w:rsidP="002C5CB8">
            <w:pPr>
              <w:spacing w:after="0" w:line="240" w:lineRule="auto"/>
              <w:rPr>
                <w:rFonts w:cs="Arial"/>
              </w:rPr>
            </w:pPr>
          </w:p>
        </w:tc>
        <w:tc>
          <w:tcPr>
            <w:tcW w:w="3759" w:type="dxa"/>
            <w:shd w:val="clear" w:color="auto" w:fill="FFFFFF" w:themeFill="background1"/>
          </w:tcPr>
          <w:p w14:paraId="0411EF8F" w14:textId="77777777" w:rsidR="003B2762" w:rsidRPr="002C5CB8" w:rsidRDefault="003B2762" w:rsidP="002C5CB8">
            <w:pPr>
              <w:spacing w:after="0" w:line="240" w:lineRule="auto"/>
              <w:rPr>
                <w:rFonts w:cs="Arial"/>
              </w:rPr>
            </w:pPr>
          </w:p>
        </w:tc>
        <w:tc>
          <w:tcPr>
            <w:tcW w:w="1755" w:type="dxa"/>
            <w:shd w:val="clear" w:color="auto" w:fill="FFFFFF" w:themeFill="background1"/>
          </w:tcPr>
          <w:p w14:paraId="3F1FF866" w14:textId="77777777" w:rsidR="003B2762" w:rsidRPr="002C5CB8" w:rsidRDefault="00A52507" w:rsidP="002C5CB8">
            <w:pPr>
              <w:pStyle w:val="Quote"/>
              <w:spacing w:after="0" w:line="240" w:lineRule="auto"/>
              <w:rPr>
                <w:rFonts w:cs="Arial"/>
              </w:rPr>
            </w:pPr>
            <w:r>
              <w:rPr>
                <w:rFonts w:cs="Arial"/>
              </w:rPr>
              <w:t>Application and interview</w:t>
            </w:r>
          </w:p>
        </w:tc>
      </w:tr>
    </w:tbl>
    <w:p w14:paraId="5046DBA9" w14:textId="77777777" w:rsidR="00B87C51" w:rsidRPr="002C5CB8" w:rsidRDefault="00B87C51" w:rsidP="002C5CB8">
      <w:pPr>
        <w:spacing w:after="0" w:line="240" w:lineRule="auto"/>
        <w:rPr>
          <w:rFonts w:cs="Arial"/>
        </w:rPr>
      </w:pPr>
    </w:p>
    <w:sectPr w:rsidR="00B87C51" w:rsidRPr="002C5CB8" w:rsidSect="00642F7A">
      <w:headerReference w:type="default" r:id="rId15"/>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49F7" w14:textId="77777777" w:rsidR="009C53ED" w:rsidRDefault="009C53ED" w:rsidP="00E3351B">
      <w:pPr>
        <w:spacing w:after="0" w:line="240" w:lineRule="auto"/>
      </w:pPr>
      <w:r>
        <w:separator/>
      </w:r>
    </w:p>
  </w:endnote>
  <w:endnote w:type="continuationSeparator" w:id="0">
    <w:p w14:paraId="0131F9AA" w14:textId="77777777" w:rsidR="009C53ED" w:rsidRDefault="009C53ED"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D090" w14:textId="77777777" w:rsidR="00473F2F" w:rsidRDefault="00473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158" w14:textId="545D10DC" w:rsidR="00AF5168" w:rsidRDefault="00DB1FD3">
    <w:pPr>
      <w:pStyle w:val="Footer"/>
    </w:pPr>
    <w:r>
      <w:rPr>
        <w:noProof/>
      </w:rPr>
      <mc:AlternateContent>
        <mc:Choice Requires="wps">
          <w:drawing>
            <wp:anchor distT="0" distB="0" distL="114300" distR="114300" simplePos="0" relativeHeight="251659776" behindDoc="0" locked="0" layoutInCell="0" allowOverlap="1" wp14:anchorId="115CA0CA" wp14:editId="3F6EDB9F">
              <wp:simplePos x="0" y="0"/>
              <wp:positionH relativeFrom="page">
                <wp:align>left</wp:align>
              </wp:positionH>
              <wp:positionV relativeFrom="page">
                <wp:align>bottom</wp:align>
              </wp:positionV>
              <wp:extent cx="7772400" cy="463550"/>
              <wp:effectExtent l="0" t="0" r="0" b="12700"/>
              <wp:wrapNone/>
              <wp:docPr id="1" name="MSIPCMf7c94da6afe1c0ad7fede3f8" descr="{&quot;HashCode&quot;:20714112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EE41A" w14:textId="29DBB2FD" w:rsidR="00DB1FD3" w:rsidRPr="00473F2F" w:rsidRDefault="00473F2F" w:rsidP="00473F2F">
                          <w:pPr>
                            <w:spacing w:after="0"/>
                            <w:rPr>
                              <w:rFonts w:ascii="Calibri" w:hAnsi="Calibri" w:cs="Calibri"/>
                              <w:color w:val="000000"/>
                              <w:sz w:val="20"/>
                            </w:rPr>
                          </w:pPr>
                          <w:r w:rsidRPr="00473F2F">
                            <w:rPr>
                              <w:rFonts w:ascii="Calibri" w:hAnsi="Calibri" w:cs="Calibri"/>
                              <w:color w:val="000000"/>
                              <w:sz w:val="20"/>
                            </w:rPr>
                            <w:t>Classification :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15CA0CA" id="_x0000_t202" coordsize="21600,21600" o:spt="202" path="m,l,21600r21600,l21600,xe">
              <v:stroke joinstyle="miter"/>
              <v:path gradientshapeok="t" o:connecttype="rect"/>
            </v:shapetype>
            <v:shape id="MSIPCMf7c94da6afe1c0ad7fede3f8" o:spid="_x0000_s1026" type="#_x0000_t202" alt="{&quot;HashCode&quot;:2071411238,&quot;Height&quot;:9999999.0,&quot;Width&quot;:9999999.0,&quot;Placement&quot;:&quot;Footer&quot;,&quot;Index&quot;:&quot;Primary&quot;,&quot;Section&quot;:1,&quot;Top&quot;:0.0,&quot;Left&quot;:0.0}" style="position:absolute;margin-left:0;margin-top:0;width:612pt;height:36.5pt;z-index:25165977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DBEE41A" w14:textId="29DBB2FD" w:rsidR="00DB1FD3" w:rsidRPr="00473F2F" w:rsidRDefault="00473F2F" w:rsidP="00473F2F">
                    <w:pPr>
                      <w:spacing w:after="0"/>
                      <w:rPr>
                        <w:rFonts w:ascii="Calibri" w:hAnsi="Calibri" w:cs="Calibri"/>
                        <w:color w:val="000000"/>
                        <w:sz w:val="20"/>
                      </w:rPr>
                    </w:pPr>
                    <w:r w:rsidRPr="00473F2F">
                      <w:rPr>
                        <w:rFonts w:ascii="Calibri" w:hAnsi="Calibri" w:cs="Calibri"/>
                        <w:color w:val="000000"/>
                        <w:sz w:val="20"/>
                      </w:rPr>
                      <w:t>Classification :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CE0C" w14:textId="77777777" w:rsidR="00473F2F" w:rsidRDefault="0047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1221" w14:textId="77777777" w:rsidR="009C53ED" w:rsidRDefault="009C53ED" w:rsidP="00E3351B">
      <w:pPr>
        <w:spacing w:after="0" w:line="240" w:lineRule="auto"/>
      </w:pPr>
      <w:r>
        <w:separator/>
      </w:r>
    </w:p>
  </w:footnote>
  <w:footnote w:type="continuationSeparator" w:id="0">
    <w:p w14:paraId="48AC70A7" w14:textId="77777777" w:rsidR="009C53ED" w:rsidRDefault="009C53ED"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B6BB" w14:textId="77777777" w:rsidR="00473F2F" w:rsidRDefault="00473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413" w14:textId="77777777" w:rsidR="00DC6151" w:rsidRDefault="002A2159">
    <w:pPr>
      <w:pStyle w:val="Header"/>
      <w:rPr>
        <w:i/>
      </w:rPr>
    </w:pPr>
    <w:r w:rsidRPr="0000208E">
      <w:rPr>
        <w:i/>
        <w:noProof/>
      </w:rPr>
      <w:drawing>
        <wp:anchor distT="0" distB="0" distL="114300" distR="114300" simplePos="0" relativeHeight="251656704" behindDoc="0" locked="0" layoutInCell="1" allowOverlap="1" wp14:anchorId="3E5A6BF5" wp14:editId="2DEC7CCF">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7A02" w14:textId="77777777" w:rsidR="00DC6151" w:rsidRDefault="00DC6151">
    <w:pPr>
      <w:pStyle w:val="Header"/>
      <w:rPr>
        <w:i/>
      </w:rPr>
    </w:pPr>
  </w:p>
  <w:p w14:paraId="654785E7"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D914" w14:textId="77777777" w:rsidR="00473F2F" w:rsidRDefault="00473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C422" w14:textId="77777777" w:rsidR="00642F7A" w:rsidRPr="0000208E" w:rsidRDefault="002A2159">
    <w:pPr>
      <w:pStyle w:val="Header"/>
      <w:rPr>
        <w:i/>
      </w:rPr>
    </w:pPr>
    <w:r w:rsidRPr="0000208E">
      <w:rPr>
        <w:i/>
        <w:noProof/>
      </w:rPr>
      <w:drawing>
        <wp:anchor distT="0" distB="0" distL="114300" distR="114300" simplePos="0" relativeHeight="251658752" behindDoc="0" locked="0" layoutInCell="1" allowOverlap="1" wp14:anchorId="647CCCC4" wp14:editId="22C8648E">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276C"/>
    <w:multiLevelType w:val="hybridMultilevel"/>
    <w:tmpl w:val="4EE2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109A3"/>
    <w:multiLevelType w:val="hybridMultilevel"/>
    <w:tmpl w:val="D8A60854"/>
    <w:lvl w:ilvl="0" w:tplc="D98A2E38">
      <w:start w:val="1"/>
      <w:numFmt w:val="bullet"/>
      <w:lvlText w:val=""/>
      <w:lvlJc w:val="left"/>
      <w:pPr>
        <w:ind w:left="720" w:hanging="360"/>
      </w:pPr>
      <w:rPr>
        <w:rFonts w:ascii="Symbol" w:hAnsi="Symbol" w:hint="default"/>
      </w:rPr>
    </w:lvl>
    <w:lvl w:ilvl="1" w:tplc="713A3CD4">
      <w:start w:val="1"/>
      <w:numFmt w:val="bullet"/>
      <w:lvlText w:val="o"/>
      <w:lvlJc w:val="left"/>
      <w:pPr>
        <w:ind w:left="1440" w:hanging="360"/>
      </w:pPr>
      <w:rPr>
        <w:rFonts w:ascii="Courier New" w:hAnsi="Courier New" w:hint="default"/>
      </w:rPr>
    </w:lvl>
    <w:lvl w:ilvl="2" w:tplc="FCF84D9E">
      <w:start w:val="1"/>
      <w:numFmt w:val="bullet"/>
      <w:lvlText w:val=""/>
      <w:lvlJc w:val="left"/>
      <w:pPr>
        <w:ind w:left="2160" w:hanging="360"/>
      </w:pPr>
      <w:rPr>
        <w:rFonts w:ascii="Wingdings" w:hAnsi="Wingdings" w:hint="default"/>
      </w:rPr>
    </w:lvl>
    <w:lvl w:ilvl="3" w:tplc="2070B5A4">
      <w:start w:val="1"/>
      <w:numFmt w:val="bullet"/>
      <w:lvlText w:val=""/>
      <w:lvlJc w:val="left"/>
      <w:pPr>
        <w:ind w:left="2880" w:hanging="360"/>
      </w:pPr>
      <w:rPr>
        <w:rFonts w:ascii="Symbol" w:hAnsi="Symbol" w:hint="default"/>
      </w:rPr>
    </w:lvl>
    <w:lvl w:ilvl="4" w:tplc="F1BC7FDE">
      <w:start w:val="1"/>
      <w:numFmt w:val="bullet"/>
      <w:lvlText w:val="o"/>
      <w:lvlJc w:val="left"/>
      <w:pPr>
        <w:ind w:left="3600" w:hanging="360"/>
      </w:pPr>
      <w:rPr>
        <w:rFonts w:ascii="Courier New" w:hAnsi="Courier New" w:hint="default"/>
      </w:rPr>
    </w:lvl>
    <w:lvl w:ilvl="5" w:tplc="EB20DEAC">
      <w:start w:val="1"/>
      <w:numFmt w:val="bullet"/>
      <w:lvlText w:val=""/>
      <w:lvlJc w:val="left"/>
      <w:pPr>
        <w:ind w:left="4320" w:hanging="360"/>
      </w:pPr>
      <w:rPr>
        <w:rFonts w:ascii="Wingdings" w:hAnsi="Wingdings" w:hint="default"/>
      </w:rPr>
    </w:lvl>
    <w:lvl w:ilvl="6" w:tplc="1758019E">
      <w:start w:val="1"/>
      <w:numFmt w:val="bullet"/>
      <w:lvlText w:val=""/>
      <w:lvlJc w:val="left"/>
      <w:pPr>
        <w:ind w:left="5040" w:hanging="360"/>
      </w:pPr>
      <w:rPr>
        <w:rFonts w:ascii="Symbol" w:hAnsi="Symbol" w:hint="default"/>
      </w:rPr>
    </w:lvl>
    <w:lvl w:ilvl="7" w:tplc="7336785A">
      <w:start w:val="1"/>
      <w:numFmt w:val="bullet"/>
      <w:lvlText w:val="o"/>
      <w:lvlJc w:val="left"/>
      <w:pPr>
        <w:ind w:left="5760" w:hanging="360"/>
      </w:pPr>
      <w:rPr>
        <w:rFonts w:ascii="Courier New" w:hAnsi="Courier New" w:hint="default"/>
      </w:rPr>
    </w:lvl>
    <w:lvl w:ilvl="8" w:tplc="75D4BB1E">
      <w:start w:val="1"/>
      <w:numFmt w:val="bullet"/>
      <w:lvlText w:val=""/>
      <w:lvlJc w:val="left"/>
      <w:pPr>
        <w:ind w:left="6480" w:hanging="360"/>
      </w:pPr>
      <w:rPr>
        <w:rFonts w:ascii="Wingdings" w:hAnsi="Wingdings" w:hint="default"/>
      </w:rPr>
    </w:lvl>
  </w:abstractNum>
  <w:abstractNum w:abstractNumId="2" w15:restartNumberingAfterBreak="0">
    <w:nsid w:val="39B47CA1"/>
    <w:multiLevelType w:val="hybridMultilevel"/>
    <w:tmpl w:val="E69C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63EE3"/>
    <w:multiLevelType w:val="hybridMultilevel"/>
    <w:tmpl w:val="937A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76826"/>
    <w:multiLevelType w:val="hybridMultilevel"/>
    <w:tmpl w:val="8E3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13136"/>
    <w:multiLevelType w:val="hybridMultilevel"/>
    <w:tmpl w:val="2090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36955"/>
    <w:multiLevelType w:val="hybridMultilevel"/>
    <w:tmpl w:val="8068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22933"/>
    <w:multiLevelType w:val="hybridMultilevel"/>
    <w:tmpl w:val="6F4A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136602">
    <w:abstractNumId w:val="1"/>
  </w:num>
  <w:num w:numId="2" w16cid:durableId="142501892">
    <w:abstractNumId w:val="4"/>
  </w:num>
  <w:num w:numId="3" w16cid:durableId="365563836">
    <w:abstractNumId w:val="7"/>
  </w:num>
  <w:num w:numId="4" w16cid:durableId="168445066">
    <w:abstractNumId w:val="6"/>
  </w:num>
  <w:num w:numId="5" w16cid:durableId="986978651">
    <w:abstractNumId w:val="5"/>
  </w:num>
  <w:num w:numId="6" w16cid:durableId="266157867">
    <w:abstractNumId w:val="0"/>
  </w:num>
  <w:num w:numId="7" w16cid:durableId="416756868">
    <w:abstractNumId w:val="2"/>
  </w:num>
  <w:num w:numId="8" w16cid:durableId="112669628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314D8"/>
    <w:rsid w:val="00031AEF"/>
    <w:rsid w:val="00042330"/>
    <w:rsid w:val="00052B49"/>
    <w:rsid w:val="00057A53"/>
    <w:rsid w:val="00070604"/>
    <w:rsid w:val="00077B57"/>
    <w:rsid w:val="00087C1E"/>
    <w:rsid w:val="00093458"/>
    <w:rsid w:val="000949CB"/>
    <w:rsid w:val="000974E8"/>
    <w:rsid w:val="000A2D01"/>
    <w:rsid w:val="000A4D6F"/>
    <w:rsid w:val="000B08C9"/>
    <w:rsid w:val="000B6A16"/>
    <w:rsid w:val="000B7B95"/>
    <w:rsid w:val="000C1F49"/>
    <w:rsid w:val="000D096B"/>
    <w:rsid w:val="000D16D9"/>
    <w:rsid w:val="000E5243"/>
    <w:rsid w:val="001007A0"/>
    <w:rsid w:val="00104525"/>
    <w:rsid w:val="001054FB"/>
    <w:rsid w:val="001066D8"/>
    <w:rsid w:val="0011268D"/>
    <w:rsid w:val="0012077F"/>
    <w:rsid w:val="00136429"/>
    <w:rsid w:val="00137AAD"/>
    <w:rsid w:val="001446C2"/>
    <w:rsid w:val="001458A9"/>
    <w:rsid w:val="00151DE6"/>
    <w:rsid w:val="00155DB5"/>
    <w:rsid w:val="00160CEF"/>
    <w:rsid w:val="00167CF3"/>
    <w:rsid w:val="00172D6B"/>
    <w:rsid w:val="00184656"/>
    <w:rsid w:val="001853AC"/>
    <w:rsid w:val="00185722"/>
    <w:rsid w:val="00192F12"/>
    <w:rsid w:val="001A5248"/>
    <w:rsid w:val="001B067D"/>
    <w:rsid w:val="001C389A"/>
    <w:rsid w:val="001D35BD"/>
    <w:rsid w:val="001D69D8"/>
    <w:rsid w:val="001D6F7C"/>
    <w:rsid w:val="001E0D12"/>
    <w:rsid w:val="001F0D07"/>
    <w:rsid w:val="001F15B8"/>
    <w:rsid w:val="001F72FA"/>
    <w:rsid w:val="002008A2"/>
    <w:rsid w:val="00221C8A"/>
    <w:rsid w:val="00222651"/>
    <w:rsid w:val="00223846"/>
    <w:rsid w:val="00226272"/>
    <w:rsid w:val="00234911"/>
    <w:rsid w:val="00235165"/>
    <w:rsid w:val="00241D10"/>
    <w:rsid w:val="00246F9D"/>
    <w:rsid w:val="002547EE"/>
    <w:rsid w:val="00256095"/>
    <w:rsid w:val="0026084F"/>
    <w:rsid w:val="00271355"/>
    <w:rsid w:val="00273521"/>
    <w:rsid w:val="00276FEF"/>
    <w:rsid w:val="002863A5"/>
    <w:rsid w:val="00293F7E"/>
    <w:rsid w:val="0029723A"/>
    <w:rsid w:val="002A2159"/>
    <w:rsid w:val="002A246C"/>
    <w:rsid w:val="002A351D"/>
    <w:rsid w:val="002A4EB7"/>
    <w:rsid w:val="002B7C7F"/>
    <w:rsid w:val="002C5CB8"/>
    <w:rsid w:val="002C6848"/>
    <w:rsid w:val="002E1DA1"/>
    <w:rsid w:val="002F3884"/>
    <w:rsid w:val="002F53DF"/>
    <w:rsid w:val="003011CF"/>
    <w:rsid w:val="003044E3"/>
    <w:rsid w:val="00312411"/>
    <w:rsid w:val="00330C6F"/>
    <w:rsid w:val="00351287"/>
    <w:rsid w:val="00351874"/>
    <w:rsid w:val="00354759"/>
    <w:rsid w:val="0036285A"/>
    <w:rsid w:val="003727AA"/>
    <w:rsid w:val="00381A11"/>
    <w:rsid w:val="003A6A65"/>
    <w:rsid w:val="003A79A3"/>
    <w:rsid w:val="003B0B6D"/>
    <w:rsid w:val="003B2762"/>
    <w:rsid w:val="003B7956"/>
    <w:rsid w:val="003C67C7"/>
    <w:rsid w:val="003D0150"/>
    <w:rsid w:val="003D30FC"/>
    <w:rsid w:val="003D5C40"/>
    <w:rsid w:val="003E5719"/>
    <w:rsid w:val="0040119C"/>
    <w:rsid w:val="00401B83"/>
    <w:rsid w:val="00402A36"/>
    <w:rsid w:val="00406E5D"/>
    <w:rsid w:val="00412B0D"/>
    <w:rsid w:val="004258E1"/>
    <w:rsid w:val="004307C3"/>
    <w:rsid w:val="0043145A"/>
    <w:rsid w:val="004362AE"/>
    <w:rsid w:val="0045046A"/>
    <w:rsid w:val="0045245C"/>
    <w:rsid w:val="0045515C"/>
    <w:rsid w:val="004568CB"/>
    <w:rsid w:val="00473EE3"/>
    <w:rsid w:val="00473F2F"/>
    <w:rsid w:val="004758FD"/>
    <w:rsid w:val="00483B73"/>
    <w:rsid w:val="004A0F5C"/>
    <w:rsid w:val="004A4FA8"/>
    <w:rsid w:val="004B64E9"/>
    <w:rsid w:val="004C7432"/>
    <w:rsid w:val="004D314B"/>
    <w:rsid w:val="004E23CC"/>
    <w:rsid w:val="004E5320"/>
    <w:rsid w:val="00501DAE"/>
    <w:rsid w:val="005045A5"/>
    <w:rsid w:val="0050680A"/>
    <w:rsid w:val="005146D6"/>
    <w:rsid w:val="00515040"/>
    <w:rsid w:val="0052324F"/>
    <w:rsid w:val="0053053C"/>
    <w:rsid w:val="0053540F"/>
    <w:rsid w:val="00557E44"/>
    <w:rsid w:val="005640B9"/>
    <w:rsid w:val="005671C7"/>
    <w:rsid w:val="0058259F"/>
    <w:rsid w:val="00586A79"/>
    <w:rsid w:val="0058783E"/>
    <w:rsid w:val="0059445B"/>
    <w:rsid w:val="00594F36"/>
    <w:rsid w:val="005C136D"/>
    <w:rsid w:val="005C448D"/>
    <w:rsid w:val="005D58AF"/>
    <w:rsid w:val="005E1B9E"/>
    <w:rsid w:val="005E2EEA"/>
    <w:rsid w:val="005E397B"/>
    <w:rsid w:val="005E75C2"/>
    <w:rsid w:val="005F1BD2"/>
    <w:rsid w:val="005F4412"/>
    <w:rsid w:val="006075BB"/>
    <w:rsid w:val="006153F9"/>
    <w:rsid w:val="00615A38"/>
    <w:rsid w:val="00620214"/>
    <w:rsid w:val="006231FB"/>
    <w:rsid w:val="00623B6F"/>
    <w:rsid w:val="006345E0"/>
    <w:rsid w:val="00642F7A"/>
    <w:rsid w:val="006478F5"/>
    <w:rsid w:val="00650875"/>
    <w:rsid w:val="00654B46"/>
    <w:rsid w:val="006552B9"/>
    <w:rsid w:val="00657AA3"/>
    <w:rsid w:val="00663C9C"/>
    <w:rsid w:val="00664306"/>
    <w:rsid w:val="006653FD"/>
    <w:rsid w:val="0066758E"/>
    <w:rsid w:val="006703D9"/>
    <w:rsid w:val="006818F1"/>
    <w:rsid w:val="00682093"/>
    <w:rsid w:val="00690CFD"/>
    <w:rsid w:val="00691C49"/>
    <w:rsid w:val="00696E3C"/>
    <w:rsid w:val="006970FA"/>
    <w:rsid w:val="006C1640"/>
    <w:rsid w:val="006D13C0"/>
    <w:rsid w:val="006D3973"/>
    <w:rsid w:val="006D5919"/>
    <w:rsid w:val="006E4F0C"/>
    <w:rsid w:val="006E6660"/>
    <w:rsid w:val="006F0A78"/>
    <w:rsid w:val="006F532E"/>
    <w:rsid w:val="00700CA6"/>
    <w:rsid w:val="00701BB2"/>
    <w:rsid w:val="00702FCC"/>
    <w:rsid w:val="00703905"/>
    <w:rsid w:val="0070504E"/>
    <w:rsid w:val="00706DBE"/>
    <w:rsid w:val="0071082B"/>
    <w:rsid w:val="00714E34"/>
    <w:rsid w:val="00717597"/>
    <w:rsid w:val="00717A64"/>
    <w:rsid w:val="00726E28"/>
    <w:rsid w:val="00736608"/>
    <w:rsid w:val="007423A6"/>
    <w:rsid w:val="007426AE"/>
    <w:rsid w:val="00742A81"/>
    <w:rsid w:val="0074613A"/>
    <w:rsid w:val="00746FB2"/>
    <w:rsid w:val="007512B4"/>
    <w:rsid w:val="00760F0D"/>
    <w:rsid w:val="00763611"/>
    <w:rsid w:val="00772265"/>
    <w:rsid w:val="007828F3"/>
    <w:rsid w:val="007849DC"/>
    <w:rsid w:val="0078652D"/>
    <w:rsid w:val="007875FF"/>
    <w:rsid w:val="00795C34"/>
    <w:rsid w:val="00797900"/>
    <w:rsid w:val="007F2FA1"/>
    <w:rsid w:val="007F69A9"/>
    <w:rsid w:val="007F7A13"/>
    <w:rsid w:val="00802A6D"/>
    <w:rsid w:val="00806EC8"/>
    <w:rsid w:val="00826918"/>
    <w:rsid w:val="00830125"/>
    <w:rsid w:val="00834898"/>
    <w:rsid w:val="0083636E"/>
    <w:rsid w:val="00836FF3"/>
    <w:rsid w:val="00860878"/>
    <w:rsid w:val="00871A1A"/>
    <w:rsid w:val="008736E6"/>
    <w:rsid w:val="0087491C"/>
    <w:rsid w:val="00875063"/>
    <w:rsid w:val="008A040A"/>
    <w:rsid w:val="008A69CE"/>
    <w:rsid w:val="008B13B1"/>
    <w:rsid w:val="008B30A3"/>
    <w:rsid w:val="008C306C"/>
    <w:rsid w:val="008C5619"/>
    <w:rsid w:val="008C57E7"/>
    <w:rsid w:val="008C7411"/>
    <w:rsid w:val="008C7D67"/>
    <w:rsid w:val="008E3093"/>
    <w:rsid w:val="008E32F3"/>
    <w:rsid w:val="008E3414"/>
    <w:rsid w:val="008F2391"/>
    <w:rsid w:val="00904A59"/>
    <w:rsid w:val="00907F54"/>
    <w:rsid w:val="00914D47"/>
    <w:rsid w:val="009271F4"/>
    <w:rsid w:val="009317EB"/>
    <w:rsid w:val="00935F31"/>
    <w:rsid w:val="00962BA2"/>
    <w:rsid w:val="00964DAC"/>
    <w:rsid w:val="0097633C"/>
    <w:rsid w:val="009921A7"/>
    <w:rsid w:val="0099293D"/>
    <w:rsid w:val="009A05B6"/>
    <w:rsid w:val="009A5825"/>
    <w:rsid w:val="009A5A31"/>
    <w:rsid w:val="009C53ED"/>
    <w:rsid w:val="009C60FD"/>
    <w:rsid w:val="009D59B3"/>
    <w:rsid w:val="009E0B46"/>
    <w:rsid w:val="009E15D3"/>
    <w:rsid w:val="009F20DE"/>
    <w:rsid w:val="009F4437"/>
    <w:rsid w:val="00A00CBF"/>
    <w:rsid w:val="00A12A5B"/>
    <w:rsid w:val="00A143CC"/>
    <w:rsid w:val="00A14E14"/>
    <w:rsid w:val="00A21FA3"/>
    <w:rsid w:val="00A22454"/>
    <w:rsid w:val="00A2534E"/>
    <w:rsid w:val="00A44529"/>
    <w:rsid w:val="00A5121D"/>
    <w:rsid w:val="00A52507"/>
    <w:rsid w:val="00A529C2"/>
    <w:rsid w:val="00A6320C"/>
    <w:rsid w:val="00A663F6"/>
    <w:rsid w:val="00A8422D"/>
    <w:rsid w:val="00A87A70"/>
    <w:rsid w:val="00A93009"/>
    <w:rsid w:val="00A97344"/>
    <w:rsid w:val="00AA1108"/>
    <w:rsid w:val="00AA4B6F"/>
    <w:rsid w:val="00AB33BA"/>
    <w:rsid w:val="00AD66E5"/>
    <w:rsid w:val="00AE0054"/>
    <w:rsid w:val="00AE312D"/>
    <w:rsid w:val="00AE6B81"/>
    <w:rsid w:val="00AF5168"/>
    <w:rsid w:val="00B01211"/>
    <w:rsid w:val="00B02F15"/>
    <w:rsid w:val="00B031FA"/>
    <w:rsid w:val="00B22046"/>
    <w:rsid w:val="00B23A6F"/>
    <w:rsid w:val="00B31536"/>
    <w:rsid w:val="00B366D6"/>
    <w:rsid w:val="00B504A0"/>
    <w:rsid w:val="00B57802"/>
    <w:rsid w:val="00B66F8D"/>
    <w:rsid w:val="00B7012A"/>
    <w:rsid w:val="00B704AD"/>
    <w:rsid w:val="00B70E6E"/>
    <w:rsid w:val="00B741B1"/>
    <w:rsid w:val="00B819AE"/>
    <w:rsid w:val="00B87C51"/>
    <w:rsid w:val="00B90B6E"/>
    <w:rsid w:val="00B93749"/>
    <w:rsid w:val="00BA5B63"/>
    <w:rsid w:val="00BA7211"/>
    <w:rsid w:val="00BB059C"/>
    <w:rsid w:val="00BB4D26"/>
    <w:rsid w:val="00BB5118"/>
    <w:rsid w:val="00BB72F7"/>
    <w:rsid w:val="00BC5DE0"/>
    <w:rsid w:val="00BD1D9A"/>
    <w:rsid w:val="00BE42B6"/>
    <w:rsid w:val="00BE676A"/>
    <w:rsid w:val="00C02D4B"/>
    <w:rsid w:val="00C05DC2"/>
    <w:rsid w:val="00C14358"/>
    <w:rsid w:val="00C14AF7"/>
    <w:rsid w:val="00C22734"/>
    <w:rsid w:val="00C40CFC"/>
    <w:rsid w:val="00C4240D"/>
    <w:rsid w:val="00C4758B"/>
    <w:rsid w:val="00C54C0E"/>
    <w:rsid w:val="00C63402"/>
    <w:rsid w:val="00C830B6"/>
    <w:rsid w:val="00C92989"/>
    <w:rsid w:val="00C93BA6"/>
    <w:rsid w:val="00C968ED"/>
    <w:rsid w:val="00C96F79"/>
    <w:rsid w:val="00CA12AC"/>
    <w:rsid w:val="00CA2A54"/>
    <w:rsid w:val="00CB2330"/>
    <w:rsid w:val="00CB34A4"/>
    <w:rsid w:val="00CB4E15"/>
    <w:rsid w:val="00CB72A1"/>
    <w:rsid w:val="00CE6A02"/>
    <w:rsid w:val="00CF09F5"/>
    <w:rsid w:val="00CF388C"/>
    <w:rsid w:val="00D00A0E"/>
    <w:rsid w:val="00D17859"/>
    <w:rsid w:val="00D272C4"/>
    <w:rsid w:val="00D34489"/>
    <w:rsid w:val="00D35686"/>
    <w:rsid w:val="00D3591A"/>
    <w:rsid w:val="00D411D8"/>
    <w:rsid w:val="00D42964"/>
    <w:rsid w:val="00D44078"/>
    <w:rsid w:val="00D44535"/>
    <w:rsid w:val="00D5391F"/>
    <w:rsid w:val="00D554FC"/>
    <w:rsid w:val="00D63A20"/>
    <w:rsid w:val="00D64BA1"/>
    <w:rsid w:val="00D7525E"/>
    <w:rsid w:val="00D87ADC"/>
    <w:rsid w:val="00D91485"/>
    <w:rsid w:val="00D9609F"/>
    <w:rsid w:val="00D97C6D"/>
    <w:rsid w:val="00DA783B"/>
    <w:rsid w:val="00DB1FD3"/>
    <w:rsid w:val="00DB5A0A"/>
    <w:rsid w:val="00DB5E35"/>
    <w:rsid w:val="00DB64BD"/>
    <w:rsid w:val="00DC41F4"/>
    <w:rsid w:val="00DC6151"/>
    <w:rsid w:val="00DC6188"/>
    <w:rsid w:val="00DC6D7D"/>
    <w:rsid w:val="00DE4AAC"/>
    <w:rsid w:val="00DF6AA6"/>
    <w:rsid w:val="00E02BD8"/>
    <w:rsid w:val="00E056AE"/>
    <w:rsid w:val="00E06BAA"/>
    <w:rsid w:val="00E14D97"/>
    <w:rsid w:val="00E3142C"/>
    <w:rsid w:val="00E3351B"/>
    <w:rsid w:val="00E3385B"/>
    <w:rsid w:val="00E43089"/>
    <w:rsid w:val="00E43752"/>
    <w:rsid w:val="00E44334"/>
    <w:rsid w:val="00E44468"/>
    <w:rsid w:val="00E46F33"/>
    <w:rsid w:val="00E711B9"/>
    <w:rsid w:val="00E766D8"/>
    <w:rsid w:val="00E82DFB"/>
    <w:rsid w:val="00EA0F18"/>
    <w:rsid w:val="00EB79A4"/>
    <w:rsid w:val="00EC7330"/>
    <w:rsid w:val="00EE5115"/>
    <w:rsid w:val="00EF6200"/>
    <w:rsid w:val="00F0278E"/>
    <w:rsid w:val="00F0538E"/>
    <w:rsid w:val="00F230BC"/>
    <w:rsid w:val="00F47992"/>
    <w:rsid w:val="00F51F81"/>
    <w:rsid w:val="00F74E68"/>
    <w:rsid w:val="00F849A1"/>
    <w:rsid w:val="00F85B58"/>
    <w:rsid w:val="00F966D4"/>
    <w:rsid w:val="00FE5FA4"/>
    <w:rsid w:val="00FF0F00"/>
    <w:rsid w:val="00FF100E"/>
    <w:rsid w:val="01303647"/>
    <w:rsid w:val="08FB3CA2"/>
    <w:rsid w:val="0B53C9B9"/>
    <w:rsid w:val="0D035A88"/>
    <w:rsid w:val="0E8B6A7B"/>
    <w:rsid w:val="0EC3AB76"/>
    <w:rsid w:val="102F892D"/>
    <w:rsid w:val="1EE1BCC6"/>
    <w:rsid w:val="1F93DC72"/>
    <w:rsid w:val="223C2188"/>
    <w:rsid w:val="2CC9F72D"/>
    <w:rsid w:val="31FF0B87"/>
    <w:rsid w:val="34ADF795"/>
    <w:rsid w:val="37E59857"/>
    <w:rsid w:val="3891217D"/>
    <w:rsid w:val="3A956577"/>
    <w:rsid w:val="3ADCECD2"/>
    <w:rsid w:val="3D69046E"/>
    <w:rsid w:val="3F968EB1"/>
    <w:rsid w:val="41720842"/>
    <w:rsid w:val="43D4CD32"/>
    <w:rsid w:val="4541A955"/>
    <w:rsid w:val="4BA83FB9"/>
    <w:rsid w:val="4BE53A47"/>
    <w:rsid w:val="5410FE12"/>
    <w:rsid w:val="54DEB3EF"/>
    <w:rsid w:val="57105DD9"/>
    <w:rsid w:val="59E03D74"/>
    <w:rsid w:val="5E0AEAF0"/>
    <w:rsid w:val="5E37D440"/>
    <w:rsid w:val="5F88A058"/>
    <w:rsid w:val="60D66AA1"/>
    <w:rsid w:val="60FFCD46"/>
    <w:rsid w:val="65929EC8"/>
    <w:rsid w:val="6F2058B1"/>
    <w:rsid w:val="723429A3"/>
    <w:rsid w:val="7824B894"/>
    <w:rsid w:val="7D2A7A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D10E0"/>
  <w15:docId w15:val="{6F1B8232-C130-4955-ACF6-0066E0B9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val="en-GB"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lang w:val="en-GB"/>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 w:type="character" w:styleId="CommentReference">
    <w:name w:val="annotation reference"/>
    <w:basedOn w:val="DefaultParagraphFont"/>
    <w:uiPriority w:val="99"/>
    <w:semiHidden/>
    <w:unhideWhenUsed/>
    <w:rsid w:val="00DB64BD"/>
    <w:rPr>
      <w:sz w:val="16"/>
      <w:szCs w:val="16"/>
    </w:rPr>
  </w:style>
  <w:style w:type="paragraph" w:styleId="CommentText">
    <w:name w:val="annotation text"/>
    <w:basedOn w:val="Normal"/>
    <w:link w:val="CommentTextChar"/>
    <w:uiPriority w:val="99"/>
    <w:semiHidden/>
    <w:unhideWhenUsed/>
    <w:rsid w:val="00DB64BD"/>
    <w:rPr>
      <w:sz w:val="20"/>
      <w:szCs w:val="20"/>
    </w:rPr>
  </w:style>
  <w:style w:type="character" w:customStyle="1" w:styleId="CommentTextChar">
    <w:name w:val="Comment Text Char"/>
    <w:basedOn w:val="DefaultParagraphFont"/>
    <w:link w:val="CommentText"/>
    <w:uiPriority w:val="99"/>
    <w:semiHidden/>
    <w:rsid w:val="00DB64BD"/>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DB64BD"/>
    <w:rPr>
      <w:b/>
      <w:bCs/>
    </w:rPr>
  </w:style>
  <w:style w:type="character" w:customStyle="1" w:styleId="CommentSubjectChar">
    <w:name w:val="Comment Subject Char"/>
    <w:basedOn w:val="CommentTextChar"/>
    <w:link w:val="CommentSubject"/>
    <w:uiPriority w:val="99"/>
    <w:semiHidden/>
    <w:rsid w:val="00DB64BD"/>
    <w:rPr>
      <w:rFonts w:ascii="Arial" w:hAnsi="Arial"/>
      <w:b/>
      <w:bCs/>
      <w:lang w:val="en-GB" w:eastAsia="en-US"/>
    </w:rPr>
  </w:style>
  <w:style w:type="paragraph" w:styleId="Revision">
    <w:name w:val="Revision"/>
    <w:hidden/>
    <w:uiPriority w:val="99"/>
    <w:semiHidden/>
    <w:rsid w:val="00DB64BD"/>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451280">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8315-6BEA-4372-BC54-BEB05139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6210</Characters>
  <Application>Microsoft Office Word</Application>
  <DocSecurity>0</DocSecurity>
  <Lines>51</Lines>
  <Paragraphs>14</Paragraphs>
  <ScaleCrop>false</ScaleCrop>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dc:description/>
  <cp:lastModifiedBy>Sally Dickson</cp:lastModifiedBy>
  <cp:revision>2</cp:revision>
  <cp:lastPrinted>2019-02-25T00:50:00Z</cp:lastPrinted>
  <dcterms:created xsi:type="dcterms:W3CDTF">2022-04-22T08:19:00Z</dcterms:created>
  <dcterms:modified xsi:type="dcterms:W3CDTF">2022-04-22T08:19:00Z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e51286-47c4-4123-8966-22562bada071_Enabled">
    <vt:lpwstr>true</vt:lpwstr>
  </property>
  <property fmtid="{D5CDD505-2E9C-101B-9397-08002B2CF9AE}" pid="3" name="MSIP_Label_47e51286-47c4-4123-8966-22562bada071_SetDate">
    <vt:lpwstr>2022-04-22T08:19:15Z</vt:lpwstr>
  </property>
  <property fmtid="{D5CDD505-2E9C-101B-9397-08002B2CF9AE}" pid="4" name="MSIP_Label_47e51286-47c4-4123-8966-22562bada071_Method">
    <vt:lpwstr>Privileged</vt:lpwstr>
  </property>
  <property fmtid="{D5CDD505-2E9C-101B-9397-08002B2CF9AE}" pid="5" name="MSIP_Label_47e51286-47c4-4123-8966-22562bada071_Name">
    <vt:lpwstr>Internal</vt:lpwstr>
  </property>
  <property fmtid="{D5CDD505-2E9C-101B-9397-08002B2CF9AE}" pid="6" name="MSIP_Label_47e51286-47c4-4123-8966-22562bada071_SiteId">
    <vt:lpwstr>f1ded84e-ebd3-46b2-98f8-658f4ca1209c</vt:lpwstr>
  </property>
  <property fmtid="{D5CDD505-2E9C-101B-9397-08002B2CF9AE}" pid="7" name="MSIP_Label_47e51286-47c4-4123-8966-22562bada071_ActionId">
    <vt:lpwstr>49c2ec9c-3130-4a09-a71e-2b3118d268d8</vt:lpwstr>
  </property>
  <property fmtid="{D5CDD505-2E9C-101B-9397-08002B2CF9AE}" pid="8" name="MSIP_Label_47e51286-47c4-4123-8966-22562bada071_ContentBits">
    <vt:lpwstr>2</vt:lpwstr>
  </property>
</Properties>
</file>