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7906" w14:textId="77777777" w:rsidR="00EF0DF5" w:rsidRPr="00D42862" w:rsidRDefault="00EF0DF5" w:rsidP="00BA3435">
      <w:pPr>
        <w:widowControl w:val="0"/>
        <w:pBdr>
          <w:top w:val="single" w:sz="4" w:space="1" w:color="auto"/>
          <w:left w:val="single" w:sz="4" w:space="4" w:color="auto"/>
          <w:bottom w:val="single" w:sz="4" w:space="2" w:color="auto"/>
          <w:right w:val="single" w:sz="4" w:space="4" w:color="auto"/>
        </w:pBdr>
        <w:jc w:val="center"/>
        <w:rPr>
          <w:rFonts w:eastAsia="Times New Roman"/>
          <w:b/>
          <w:bCs/>
          <w:color w:val="00B0F0"/>
          <w:szCs w:val="18"/>
        </w:rPr>
      </w:pPr>
      <w:r w:rsidRPr="00D42862">
        <w:rPr>
          <w:rFonts w:eastAsia="Times New Roman"/>
          <w:b/>
          <w:bCs/>
          <w:noProof/>
          <w:color w:val="00B0F0"/>
          <w:sz w:val="40"/>
          <w:szCs w:val="40"/>
        </w:rPr>
        <w:drawing>
          <wp:inline distT="0" distB="0" distL="0" distR="0" wp14:anchorId="1C3A4921" wp14:editId="03143E40">
            <wp:extent cx="514350" cy="514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24EBD491" w14:textId="6906DA1B" w:rsidR="00EF0DF5" w:rsidRPr="00D42862" w:rsidRDefault="00EF0DF5" w:rsidP="00BA3435">
      <w:pPr>
        <w:widowControl w:val="0"/>
        <w:pBdr>
          <w:top w:val="single" w:sz="4" w:space="1" w:color="auto"/>
          <w:left w:val="single" w:sz="4" w:space="4" w:color="auto"/>
          <w:bottom w:val="single" w:sz="4" w:space="2" w:color="auto"/>
          <w:right w:val="single" w:sz="4" w:space="4" w:color="auto"/>
        </w:pBdr>
        <w:jc w:val="center"/>
        <w:rPr>
          <w:rFonts w:eastAsia="Times New Roman"/>
          <w:sz w:val="28"/>
          <w:szCs w:val="28"/>
        </w:rPr>
      </w:pPr>
      <w:r w:rsidRPr="00D42862">
        <w:rPr>
          <w:rFonts w:eastAsia="Times New Roman"/>
          <w:color w:val="00B0F0"/>
          <w:sz w:val="28"/>
          <w:szCs w:val="28"/>
        </w:rPr>
        <w:t>T</w:t>
      </w:r>
      <w:r w:rsidRPr="00D42862">
        <w:rPr>
          <w:rFonts w:eastAsia="Times New Roman"/>
          <w:sz w:val="28"/>
          <w:szCs w:val="28"/>
        </w:rPr>
        <w:t xml:space="preserve">he </w:t>
      </w:r>
      <w:r w:rsidRPr="00D42862">
        <w:rPr>
          <w:rFonts w:eastAsia="Times New Roman"/>
          <w:color w:val="00B0F0"/>
          <w:sz w:val="28"/>
          <w:szCs w:val="28"/>
        </w:rPr>
        <w:t>I</w:t>
      </w:r>
      <w:r w:rsidRPr="00D42862">
        <w:rPr>
          <w:rFonts w:eastAsia="Times New Roman"/>
          <w:sz w:val="28"/>
          <w:szCs w:val="28"/>
        </w:rPr>
        <w:t xml:space="preserve">nclusive </w:t>
      </w:r>
      <w:r w:rsidRPr="00D42862">
        <w:rPr>
          <w:rFonts w:eastAsia="Times New Roman"/>
          <w:color w:val="00B0F0"/>
          <w:sz w:val="28"/>
          <w:szCs w:val="28"/>
        </w:rPr>
        <w:t>D</w:t>
      </w:r>
      <w:r w:rsidRPr="00D42862">
        <w:rPr>
          <w:rFonts w:eastAsia="Times New Roman"/>
          <w:sz w:val="28"/>
          <w:szCs w:val="28"/>
        </w:rPr>
        <w:t xml:space="preserve">airy </w:t>
      </w:r>
      <w:r w:rsidRPr="00D42862">
        <w:rPr>
          <w:rFonts w:eastAsia="Times New Roman"/>
          <w:color w:val="00B0F0"/>
          <w:sz w:val="28"/>
          <w:szCs w:val="28"/>
        </w:rPr>
        <w:t>E</w:t>
      </w:r>
      <w:r w:rsidRPr="00D42862">
        <w:rPr>
          <w:rFonts w:eastAsia="Times New Roman"/>
          <w:sz w:val="28"/>
          <w:szCs w:val="28"/>
        </w:rPr>
        <w:t>nterprise project Phase 2 (TIDE-2)</w:t>
      </w:r>
    </w:p>
    <w:p w14:paraId="06467C0C" w14:textId="77777777" w:rsidR="00EF0DF5" w:rsidRPr="00D42862" w:rsidRDefault="00EF0DF5" w:rsidP="00BA3435">
      <w:pPr>
        <w:pStyle w:val="NoSpacing"/>
        <w:jc w:val="both"/>
        <w:rPr>
          <w:rFonts w:ascii="Verdana" w:hAnsi="Verdana"/>
          <w:sz w:val="18"/>
          <w:szCs w:val="18"/>
        </w:rPr>
      </w:pPr>
    </w:p>
    <w:p w14:paraId="3749DF8C" w14:textId="2F8F5D62" w:rsidR="00F267C4" w:rsidRPr="00D42862" w:rsidRDefault="00F961EA" w:rsidP="00BA3435">
      <w:pPr>
        <w:jc w:val="center"/>
        <w:rPr>
          <w:rFonts w:cs="Arial"/>
          <w:b/>
          <w:bCs/>
          <w:sz w:val="24"/>
        </w:rPr>
      </w:pPr>
      <w:r w:rsidRPr="00D42862">
        <w:rPr>
          <w:rFonts w:cs="Arial"/>
          <w:b/>
          <w:bCs/>
          <w:sz w:val="24"/>
        </w:rPr>
        <w:t xml:space="preserve">Terms </w:t>
      </w:r>
      <w:r>
        <w:rPr>
          <w:rFonts w:cs="Arial"/>
          <w:b/>
          <w:bCs/>
          <w:sz w:val="24"/>
        </w:rPr>
        <w:t>o</w:t>
      </w:r>
      <w:r w:rsidRPr="00D42862">
        <w:rPr>
          <w:rFonts w:cs="Arial"/>
          <w:b/>
          <w:bCs/>
          <w:sz w:val="24"/>
        </w:rPr>
        <w:t xml:space="preserve">f Reference for The Gender Equity and Social Inclusion </w:t>
      </w:r>
      <w:r>
        <w:rPr>
          <w:rFonts w:cs="Arial"/>
          <w:b/>
          <w:bCs/>
          <w:sz w:val="24"/>
        </w:rPr>
        <w:t xml:space="preserve">(GESI) </w:t>
      </w:r>
      <w:r w:rsidRPr="00D42862">
        <w:rPr>
          <w:rFonts w:cs="Arial"/>
          <w:b/>
          <w:bCs/>
          <w:sz w:val="24"/>
        </w:rPr>
        <w:t>In ISDAP</w:t>
      </w:r>
    </w:p>
    <w:p w14:paraId="591182C5" w14:textId="77777777" w:rsidR="00EF0DF5" w:rsidRPr="00D42862" w:rsidRDefault="00EF0DF5" w:rsidP="00BA3435">
      <w:pPr>
        <w:pStyle w:val="NoSpacing"/>
        <w:jc w:val="center"/>
        <w:rPr>
          <w:rFonts w:ascii="Verdana" w:hAnsi="Verdana"/>
          <w:sz w:val="24"/>
          <w:szCs w:val="24"/>
        </w:rPr>
      </w:pPr>
    </w:p>
    <w:p w14:paraId="101601A5" w14:textId="77777777" w:rsidR="00F267C4" w:rsidRPr="00D42862" w:rsidRDefault="00F267C4" w:rsidP="00BA3435">
      <w:pPr>
        <w:jc w:val="center"/>
        <w:rPr>
          <w:rFonts w:eastAsia="Calibri" w:cstheme="minorHAnsi"/>
          <w:b/>
          <w:color w:val="FF0000"/>
          <w:sz w:val="24"/>
          <w:lang w:val="en-US"/>
        </w:rPr>
      </w:pPr>
    </w:p>
    <w:p w14:paraId="616A0783" w14:textId="2948BFAA" w:rsidR="00533A50" w:rsidRPr="00D42862" w:rsidRDefault="00533A50" w:rsidP="00BA3435">
      <w:pPr>
        <w:jc w:val="both"/>
        <w:rPr>
          <w:b/>
          <w:bCs/>
          <w:sz w:val="22"/>
          <w:szCs w:val="22"/>
        </w:rPr>
      </w:pPr>
      <w:r w:rsidRPr="00D42862">
        <w:rPr>
          <w:b/>
          <w:bCs/>
          <w:color w:val="00B0F0"/>
          <w:sz w:val="22"/>
          <w:szCs w:val="22"/>
        </w:rPr>
        <w:t>1.0 Introduction</w:t>
      </w:r>
      <w:r w:rsidR="00F267C4" w:rsidRPr="00D42862">
        <w:rPr>
          <w:b/>
          <w:bCs/>
          <w:color w:val="00B0F0"/>
          <w:sz w:val="22"/>
          <w:szCs w:val="22"/>
        </w:rPr>
        <w:t>.</w:t>
      </w:r>
    </w:p>
    <w:p w14:paraId="75A1FB2F" w14:textId="379054BC" w:rsidR="00533A50" w:rsidRPr="00D42862" w:rsidRDefault="00533A50" w:rsidP="00BA3435">
      <w:pPr>
        <w:jc w:val="both"/>
        <w:rPr>
          <w:szCs w:val="18"/>
        </w:rPr>
      </w:pPr>
      <w:r w:rsidRPr="00D42862">
        <w:rPr>
          <w:szCs w:val="18"/>
        </w:rPr>
        <w:t xml:space="preserve">These terms of reference have been developed out of the need to </w:t>
      </w:r>
      <w:r w:rsidR="00CA75F7" w:rsidRPr="00D42862">
        <w:rPr>
          <w:szCs w:val="18"/>
        </w:rPr>
        <w:t>address</w:t>
      </w:r>
      <w:r w:rsidR="00F267C4" w:rsidRPr="00D42862">
        <w:rPr>
          <w:szCs w:val="18"/>
        </w:rPr>
        <w:t xml:space="preserve"> gender equity and social inclusion</w:t>
      </w:r>
      <w:r w:rsidR="003C246D">
        <w:rPr>
          <w:szCs w:val="18"/>
        </w:rPr>
        <w:t xml:space="preserve"> (GESI)</w:t>
      </w:r>
      <w:r w:rsidR="00F267C4" w:rsidRPr="00D42862">
        <w:rPr>
          <w:szCs w:val="18"/>
        </w:rPr>
        <w:t xml:space="preserve"> </w:t>
      </w:r>
      <w:r w:rsidR="00CA75F7" w:rsidRPr="00D42862">
        <w:rPr>
          <w:szCs w:val="18"/>
        </w:rPr>
        <w:t>aspect</w:t>
      </w:r>
      <w:r w:rsidR="00961FC9" w:rsidRPr="00D42862">
        <w:rPr>
          <w:szCs w:val="18"/>
        </w:rPr>
        <w:t xml:space="preserve">s </w:t>
      </w:r>
      <w:r w:rsidRPr="00D42862">
        <w:rPr>
          <w:szCs w:val="18"/>
        </w:rPr>
        <w:t xml:space="preserve">under the new project referred to as </w:t>
      </w:r>
      <w:r w:rsidR="007C0636" w:rsidRPr="00D42862">
        <w:rPr>
          <w:szCs w:val="18"/>
        </w:rPr>
        <w:t>“Integrated</w:t>
      </w:r>
      <w:r w:rsidRPr="00D42862">
        <w:rPr>
          <w:szCs w:val="18"/>
        </w:rPr>
        <w:t xml:space="preserve"> small holder Dairy Project” to be implemented by SNV</w:t>
      </w:r>
      <w:r w:rsidR="0090101B" w:rsidRPr="00D42862">
        <w:rPr>
          <w:szCs w:val="18"/>
        </w:rPr>
        <w:t>- TIDE</w:t>
      </w:r>
      <w:r w:rsidR="00EB0BA9" w:rsidRPr="00D42862">
        <w:rPr>
          <w:szCs w:val="18"/>
        </w:rPr>
        <w:t xml:space="preserve">. </w:t>
      </w:r>
      <w:r w:rsidRPr="00D42862">
        <w:rPr>
          <w:szCs w:val="18"/>
        </w:rPr>
        <w:t>The approach and objectives of the</w:t>
      </w:r>
      <w:r w:rsidR="00EB0BA9" w:rsidRPr="00D42862">
        <w:rPr>
          <w:szCs w:val="18"/>
        </w:rPr>
        <w:t xml:space="preserve"> gender and social</w:t>
      </w:r>
      <w:r w:rsidR="0090101B" w:rsidRPr="00D42862">
        <w:rPr>
          <w:szCs w:val="18"/>
        </w:rPr>
        <w:t xml:space="preserve"> inclusion strategy</w:t>
      </w:r>
      <w:r w:rsidRPr="00D42862">
        <w:rPr>
          <w:szCs w:val="18"/>
        </w:rPr>
        <w:t xml:space="preserve"> are stated in the terms of reference below.</w:t>
      </w:r>
    </w:p>
    <w:p w14:paraId="622E2E70" w14:textId="77777777" w:rsidR="00533A50" w:rsidRPr="00D42862" w:rsidRDefault="00533A50" w:rsidP="00BA3435">
      <w:pPr>
        <w:jc w:val="both"/>
        <w:rPr>
          <w:szCs w:val="18"/>
        </w:rPr>
      </w:pPr>
    </w:p>
    <w:p w14:paraId="20B85BFA" w14:textId="613F8F22" w:rsidR="00533A50" w:rsidRPr="00D42862" w:rsidRDefault="00533A50" w:rsidP="00BA3435">
      <w:pPr>
        <w:jc w:val="both"/>
        <w:rPr>
          <w:b/>
          <w:bCs/>
          <w:color w:val="00B0F0"/>
          <w:sz w:val="22"/>
          <w:szCs w:val="22"/>
        </w:rPr>
      </w:pPr>
      <w:r w:rsidRPr="00D42862">
        <w:rPr>
          <w:b/>
          <w:bCs/>
          <w:color w:val="00B0F0"/>
          <w:sz w:val="22"/>
          <w:szCs w:val="22"/>
        </w:rPr>
        <w:t>1.</w:t>
      </w:r>
      <w:r w:rsidR="00B405C9" w:rsidRPr="00D42862">
        <w:rPr>
          <w:b/>
          <w:bCs/>
          <w:color w:val="00B0F0"/>
          <w:sz w:val="22"/>
          <w:szCs w:val="22"/>
        </w:rPr>
        <w:t>2</w:t>
      </w:r>
      <w:r w:rsidRPr="00D42862">
        <w:rPr>
          <w:b/>
          <w:bCs/>
          <w:color w:val="00B0F0"/>
          <w:sz w:val="22"/>
          <w:szCs w:val="22"/>
        </w:rPr>
        <w:t xml:space="preserve"> SNV’s TIDE project</w:t>
      </w:r>
    </w:p>
    <w:p w14:paraId="5BAD3EC4" w14:textId="08B07383" w:rsidR="00533A50" w:rsidRPr="00D42862" w:rsidRDefault="00533A50" w:rsidP="00BA3435">
      <w:pPr>
        <w:jc w:val="both"/>
        <w:rPr>
          <w:szCs w:val="18"/>
        </w:rPr>
      </w:pPr>
      <w:bookmarkStart w:id="0" w:name="OLE_LINK93"/>
      <w:bookmarkStart w:id="1" w:name="OLE_LINK94"/>
      <w:r w:rsidRPr="00D42862">
        <w:rPr>
          <w:szCs w:val="18"/>
        </w:rPr>
        <w:t xml:space="preserve">SNV has implemented the TIDE project in Southwest Uganda since October 2015. The TIDE project is funded by the Embassy of the Kingdom of the Netherlands (EKN) in Kampala and the project is currently in its second phase (2020–2023) of implementation.  TIDE supports dairy farmers to transition to semi-intensive production by creating a commercial input market in knowledge (training, extension), products and technical services, and finance (credit, </w:t>
      </w:r>
      <w:r w:rsidR="007C0636" w:rsidRPr="00D42862">
        <w:rPr>
          <w:szCs w:val="18"/>
        </w:rPr>
        <w:t>subsidies,</w:t>
      </w:r>
      <w:r w:rsidRPr="00D42862">
        <w:rPr>
          <w:szCs w:val="18"/>
        </w:rPr>
        <w:t xml:space="preserve"> and grants). TIDE focuses on four intervention </w:t>
      </w:r>
      <w:r w:rsidR="007C0636" w:rsidRPr="00D42862">
        <w:rPr>
          <w:szCs w:val="18"/>
        </w:rPr>
        <w:t>areas:</w:t>
      </w:r>
      <w:r w:rsidRPr="00D42862">
        <w:rPr>
          <w:szCs w:val="18"/>
        </w:rPr>
        <w:t xml:space="preserve"> Dairy Farm Productivity, Milk Quality, Value Chain and Nutrition. A market was created for input suppliers and service providers by supporting the development and marketing of products to farmers and cooperatives. The project's second phase focuses on market development by supporting the sustainable intensification of dairy production systems, milk supply chains, and adequate infrastructure for input supply and service provision.</w:t>
      </w:r>
    </w:p>
    <w:p w14:paraId="204DC0D8" w14:textId="77777777" w:rsidR="00533A50" w:rsidRPr="00D42862" w:rsidRDefault="00533A50" w:rsidP="00BA3435">
      <w:pPr>
        <w:jc w:val="both"/>
        <w:rPr>
          <w:szCs w:val="18"/>
        </w:rPr>
      </w:pPr>
    </w:p>
    <w:p w14:paraId="61EBD790" w14:textId="1D8CA6CE" w:rsidR="00533A50" w:rsidRPr="00D42862" w:rsidRDefault="00533A50" w:rsidP="00BA3435">
      <w:pPr>
        <w:jc w:val="both"/>
        <w:rPr>
          <w:szCs w:val="18"/>
        </w:rPr>
      </w:pPr>
      <w:r w:rsidRPr="00D42862">
        <w:rPr>
          <w:szCs w:val="18"/>
        </w:rPr>
        <w:t xml:space="preserve">The project aims to help scale-up successful </w:t>
      </w:r>
      <w:r w:rsidR="00F763B7" w:rsidRPr="00D42862">
        <w:rPr>
          <w:szCs w:val="18"/>
        </w:rPr>
        <w:t>initiatives</w:t>
      </w:r>
      <w:r w:rsidRPr="00D42862">
        <w:rPr>
          <w:szCs w:val="18"/>
        </w:rPr>
        <w:t>, business models and products piloted in the project to other commercialising milk production areas in Uganda. The project interacts with all dairy value chain actors, including input suppliers, service providers and government. It engages with government agencies to create an optimum enabling environment for the private sector.</w:t>
      </w:r>
    </w:p>
    <w:p w14:paraId="375F27D3" w14:textId="77777777" w:rsidR="00280A96" w:rsidRPr="00D42862" w:rsidRDefault="00280A96" w:rsidP="00BA3435">
      <w:pPr>
        <w:jc w:val="both"/>
        <w:rPr>
          <w:szCs w:val="18"/>
        </w:rPr>
      </w:pPr>
    </w:p>
    <w:bookmarkEnd w:id="0"/>
    <w:bookmarkEnd w:id="1"/>
    <w:p w14:paraId="2FB998E3" w14:textId="77777777" w:rsidR="00533A50" w:rsidRPr="00D42862" w:rsidRDefault="00533A50" w:rsidP="00BA3435">
      <w:pPr>
        <w:jc w:val="both"/>
        <w:rPr>
          <w:szCs w:val="18"/>
        </w:rPr>
      </w:pPr>
    </w:p>
    <w:p w14:paraId="7E2B13AE" w14:textId="791CD0D7" w:rsidR="00533A50" w:rsidRPr="00BA3435" w:rsidRDefault="00533A50" w:rsidP="00BA3435">
      <w:pPr>
        <w:jc w:val="both"/>
        <w:rPr>
          <w:b/>
          <w:bCs/>
          <w:color w:val="00B0F0"/>
          <w:sz w:val="22"/>
          <w:szCs w:val="22"/>
        </w:rPr>
      </w:pPr>
      <w:r w:rsidRPr="00BA3435">
        <w:rPr>
          <w:b/>
          <w:bCs/>
          <w:color w:val="00B0F0"/>
          <w:sz w:val="22"/>
          <w:szCs w:val="22"/>
        </w:rPr>
        <w:t xml:space="preserve">2.0 Background to the </w:t>
      </w:r>
      <w:r w:rsidR="00280A96" w:rsidRPr="00BA3435">
        <w:rPr>
          <w:b/>
          <w:bCs/>
          <w:color w:val="00B0F0"/>
          <w:sz w:val="22"/>
          <w:szCs w:val="22"/>
        </w:rPr>
        <w:t>Integrated</w:t>
      </w:r>
      <w:r w:rsidRPr="00BA3435">
        <w:rPr>
          <w:b/>
          <w:bCs/>
          <w:color w:val="00B0F0"/>
          <w:sz w:val="22"/>
          <w:szCs w:val="22"/>
        </w:rPr>
        <w:t xml:space="preserve"> small holder Dairy program (ISDAP)</w:t>
      </w:r>
    </w:p>
    <w:p w14:paraId="4BB22C04" w14:textId="77777777" w:rsidR="00533A50" w:rsidRPr="00BA3435" w:rsidRDefault="00533A50" w:rsidP="00BA3435">
      <w:pPr>
        <w:jc w:val="both"/>
        <w:rPr>
          <w:sz w:val="22"/>
          <w:szCs w:val="22"/>
        </w:rPr>
      </w:pPr>
    </w:p>
    <w:p w14:paraId="3A0844E0" w14:textId="77777777" w:rsidR="00B17B6E" w:rsidRPr="00D42862" w:rsidRDefault="00B17B6E" w:rsidP="00BA3435">
      <w:pPr>
        <w:ind w:right="-109"/>
        <w:jc w:val="both"/>
        <w:rPr>
          <w:rFonts w:cs="Arial"/>
          <w:szCs w:val="18"/>
        </w:rPr>
      </w:pPr>
      <w:r w:rsidRPr="00D42862">
        <w:rPr>
          <w:rFonts w:cs="Arial"/>
          <w:szCs w:val="18"/>
        </w:rPr>
        <w:t xml:space="preserve">During the implementation of TIDE, a realisation was made that there are many smallholder farmers who largely dominate milk production and own 90% of the national cattle population. These small holder farmers however depend on their livestock for food and income yet face challenges of low productivity, as a result, ISDAP was born and seeks to support the small holder farmers within Rwenzori, Ankole and Kigezi Sub Regions for the period 2022-2024. While many partner organisations focus on availing financial and material support, not limited to the many trainings. These have helped the farmers take strides towards improving their livelihoods. This is appreciated though we would like to integrate this support with gender mainstreaming. Women make essential contributions to the agricultural and rural economies in all developing countries. Their roles vary considerably between and within regions and are changing rapidly in many parts of the world, where economic and social forces are transforming the agricultural sector. </w:t>
      </w:r>
    </w:p>
    <w:p w14:paraId="3D77AB9E" w14:textId="279E212F" w:rsidR="00A718DE" w:rsidRPr="00D42862" w:rsidRDefault="00A718DE" w:rsidP="00BA3435">
      <w:pPr>
        <w:jc w:val="both"/>
        <w:rPr>
          <w:rFonts w:cs="Arial"/>
          <w:szCs w:val="18"/>
        </w:rPr>
      </w:pPr>
      <w:r w:rsidRPr="00D42862">
        <w:rPr>
          <w:rFonts w:cs="Arial"/>
          <w:szCs w:val="18"/>
        </w:rPr>
        <w:t xml:space="preserve">Therefore, through promotion of Gender equity and </w:t>
      </w:r>
      <w:r w:rsidR="007C0636" w:rsidRPr="00D42862">
        <w:rPr>
          <w:rFonts w:cs="Arial"/>
          <w:szCs w:val="18"/>
        </w:rPr>
        <w:t>social</w:t>
      </w:r>
      <w:r w:rsidRPr="00D42862">
        <w:rPr>
          <w:rFonts w:cs="Arial"/>
          <w:szCs w:val="18"/>
        </w:rPr>
        <w:t xml:space="preserve"> inclusion the project interventions shall impact more farmers to improve the farmer livelihoods.</w:t>
      </w:r>
    </w:p>
    <w:p w14:paraId="6A4723A2" w14:textId="32FFA171" w:rsidR="00B17B6E" w:rsidRPr="00D42862" w:rsidRDefault="00B17B6E" w:rsidP="00BA3435">
      <w:pPr>
        <w:jc w:val="both"/>
        <w:rPr>
          <w:rFonts w:cs="Arial"/>
          <w:szCs w:val="18"/>
        </w:rPr>
      </w:pPr>
    </w:p>
    <w:p w14:paraId="63F60DB1" w14:textId="0124A65F" w:rsidR="00533A50" w:rsidRPr="00D42862" w:rsidRDefault="00533A50" w:rsidP="00BA3435">
      <w:pPr>
        <w:jc w:val="both"/>
        <w:rPr>
          <w:b/>
          <w:bCs/>
          <w:color w:val="00B0F0"/>
          <w:szCs w:val="18"/>
        </w:rPr>
      </w:pPr>
    </w:p>
    <w:p w14:paraId="4D9D8387" w14:textId="6E3D6C81" w:rsidR="00533A50" w:rsidRDefault="00533A50" w:rsidP="00BA3435">
      <w:pPr>
        <w:jc w:val="both"/>
        <w:rPr>
          <w:b/>
          <w:bCs/>
          <w:color w:val="00B0F0"/>
          <w:sz w:val="22"/>
          <w:szCs w:val="22"/>
        </w:rPr>
      </w:pPr>
      <w:bookmarkStart w:id="2" w:name="OLE_LINK35"/>
      <w:bookmarkStart w:id="3" w:name="OLE_LINK36"/>
      <w:r w:rsidRPr="00BA3435">
        <w:rPr>
          <w:b/>
          <w:bCs/>
          <w:color w:val="00B0F0"/>
          <w:sz w:val="22"/>
          <w:szCs w:val="22"/>
        </w:rPr>
        <w:t>2.2 ISDAP-project Goal</w:t>
      </w:r>
    </w:p>
    <w:p w14:paraId="457888C0" w14:textId="77777777" w:rsidR="00BA3435" w:rsidRPr="00BA3435" w:rsidRDefault="00BA3435" w:rsidP="00BA3435">
      <w:pPr>
        <w:jc w:val="both"/>
        <w:rPr>
          <w:b/>
          <w:bCs/>
          <w:color w:val="00B0F0"/>
          <w:sz w:val="22"/>
          <w:szCs w:val="22"/>
        </w:rPr>
      </w:pPr>
    </w:p>
    <w:p w14:paraId="2ECBB493" w14:textId="410B1584" w:rsidR="00533A50" w:rsidRPr="00D42862" w:rsidRDefault="00533A50" w:rsidP="00BA3435">
      <w:pPr>
        <w:jc w:val="both"/>
        <w:rPr>
          <w:szCs w:val="18"/>
        </w:rPr>
      </w:pPr>
      <w:r w:rsidRPr="00D42862">
        <w:rPr>
          <w:szCs w:val="18"/>
        </w:rPr>
        <w:t>The integrated small holder farmer dairy program is aiming at enabling 5,000 sm</w:t>
      </w:r>
      <w:r w:rsidR="00D42862" w:rsidRPr="00D42862">
        <w:rPr>
          <w:szCs w:val="18"/>
        </w:rPr>
        <w:t>a</w:t>
      </w:r>
      <w:r w:rsidRPr="00D42862">
        <w:rPr>
          <w:szCs w:val="18"/>
        </w:rPr>
        <w:t xml:space="preserve">llholder dairy farmers improve their </w:t>
      </w:r>
      <w:r w:rsidR="00D42862" w:rsidRPr="00D42862">
        <w:rPr>
          <w:szCs w:val="18"/>
        </w:rPr>
        <w:t>livelihoods</w:t>
      </w:r>
      <w:r w:rsidRPr="00D42862">
        <w:rPr>
          <w:szCs w:val="18"/>
        </w:rPr>
        <w:t xml:space="preserve"> through small-scale integrated farming, focusing on dairy farming through increasing farm - level incomes, employment, household food and nutrition security. </w:t>
      </w:r>
    </w:p>
    <w:p w14:paraId="57DB3FC5" w14:textId="77777777" w:rsidR="00533A50" w:rsidRPr="00D42862" w:rsidRDefault="00533A50" w:rsidP="00BA3435">
      <w:pPr>
        <w:jc w:val="both"/>
        <w:rPr>
          <w:szCs w:val="18"/>
        </w:rPr>
      </w:pPr>
    </w:p>
    <w:p w14:paraId="112A56A4" w14:textId="77777777" w:rsidR="00533A50" w:rsidRPr="00D42862" w:rsidRDefault="00533A50" w:rsidP="00BA3435">
      <w:pPr>
        <w:jc w:val="both"/>
        <w:rPr>
          <w:szCs w:val="18"/>
        </w:rPr>
      </w:pPr>
      <w:r w:rsidRPr="00D42862">
        <w:rPr>
          <w:szCs w:val="18"/>
        </w:rPr>
        <w:t>The following</w:t>
      </w:r>
      <w:r w:rsidRPr="00D42862">
        <w:rPr>
          <w:b/>
          <w:bCs/>
          <w:szCs w:val="18"/>
        </w:rPr>
        <w:t xml:space="preserve"> Outcomes</w:t>
      </w:r>
      <w:r w:rsidRPr="00D42862">
        <w:rPr>
          <w:szCs w:val="18"/>
        </w:rPr>
        <w:t xml:space="preserve"> will contribute to the overall program goal:</w:t>
      </w:r>
    </w:p>
    <w:p w14:paraId="204A7E8A" w14:textId="77777777" w:rsidR="00533A50" w:rsidRPr="00D42862" w:rsidRDefault="00533A50" w:rsidP="00A6428D">
      <w:pPr>
        <w:pStyle w:val="ListParagraph"/>
        <w:numPr>
          <w:ilvl w:val="0"/>
          <w:numId w:val="4"/>
        </w:numPr>
        <w:contextualSpacing w:val="0"/>
        <w:jc w:val="both"/>
        <w:rPr>
          <w:szCs w:val="18"/>
        </w:rPr>
      </w:pPr>
      <w:r w:rsidRPr="00D42862">
        <w:rPr>
          <w:szCs w:val="18"/>
        </w:rPr>
        <w:t>Improved integrated smallholder dairy farm production and productivity.</w:t>
      </w:r>
    </w:p>
    <w:p w14:paraId="64E52702" w14:textId="77777777" w:rsidR="00533A50" w:rsidRPr="00D42862" w:rsidRDefault="00533A50" w:rsidP="00A6428D">
      <w:pPr>
        <w:pStyle w:val="ListParagraph"/>
        <w:numPr>
          <w:ilvl w:val="0"/>
          <w:numId w:val="4"/>
        </w:numPr>
        <w:contextualSpacing w:val="0"/>
        <w:jc w:val="both"/>
        <w:rPr>
          <w:szCs w:val="18"/>
        </w:rPr>
      </w:pPr>
      <w:r w:rsidRPr="00D42862">
        <w:rPr>
          <w:szCs w:val="18"/>
        </w:rPr>
        <w:t>Improved milk quality.</w:t>
      </w:r>
    </w:p>
    <w:p w14:paraId="46165E61" w14:textId="77777777" w:rsidR="00533A50" w:rsidRPr="00D42862" w:rsidRDefault="00533A50" w:rsidP="00A6428D">
      <w:pPr>
        <w:pStyle w:val="ListParagraph"/>
        <w:numPr>
          <w:ilvl w:val="0"/>
          <w:numId w:val="4"/>
        </w:numPr>
        <w:contextualSpacing w:val="0"/>
        <w:jc w:val="both"/>
        <w:rPr>
          <w:szCs w:val="18"/>
        </w:rPr>
      </w:pPr>
      <w:r w:rsidRPr="00D42862">
        <w:rPr>
          <w:szCs w:val="18"/>
        </w:rPr>
        <w:lastRenderedPageBreak/>
        <w:t>Improved inclusive dairy value chain.</w:t>
      </w:r>
    </w:p>
    <w:p w14:paraId="632F833B" w14:textId="77777777" w:rsidR="00533A50" w:rsidRPr="00D42862" w:rsidRDefault="00533A50" w:rsidP="00A6428D">
      <w:pPr>
        <w:pStyle w:val="ListParagraph"/>
        <w:numPr>
          <w:ilvl w:val="0"/>
          <w:numId w:val="4"/>
        </w:numPr>
        <w:contextualSpacing w:val="0"/>
        <w:jc w:val="both"/>
        <w:rPr>
          <w:szCs w:val="18"/>
        </w:rPr>
      </w:pPr>
      <w:r w:rsidRPr="00D42862">
        <w:rPr>
          <w:szCs w:val="18"/>
        </w:rPr>
        <w:t>Improved human nutrition.</w:t>
      </w:r>
    </w:p>
    <w:p w14:paraId="30CA6007" w14:textId="07176EBB" w:rsidR="00533A50" w:rsidRPr="00D42862" w:rsidRDefault="00533A50" w:rsidP="00BA3435">
      <w:pPr>
        <w:pStyle w:val="ListParagraph"/>
        <w:ind w:left="360"/>
        <w:jc w:val="both"/>
        <w:rPr>
          <w:szCs w:val="18"/>
        </w:rPr>
      </w:pPr>
    </w:p>
    <w:p w14:paraId="536E192D" w14:textId="77777777" w:rsidR="00533A50" w:rsidRPr="00D42862" w:rsidRDefault="00533A50" w:rsidP="00BA3435">
      <w:pPr>
        <w:jc w:val="both"/>
        <w:rPr>
          <w:szCs w:val="18"/>
        </w:rPr>
      </w:pPr>
      <w:bookmarkStart w:id="4" w:name="OLE_LINK64"/>
      <w:bookmarkStart w:id="5" w:name="OLE_LINK65"/>
    </w:p>
    <w:p w14:paraId="41C8A53F" w14:textId="49786982" w:rsidR="00533A50" w:rsidRDefault="00533A50" w:rsidP="00BA3435">
      <w:pPr>
        <w:jc w:val="both"/>
        <w:rPr>
          <w:b/>
          <w:bCs/>
          <w:color w:val="00B0F0"/>
          <w:sz w:val="22"/>
          <w:szCs w:val="22"/>
        </w:rPr>
      </w:pPr>
      <w:r w:rsidRPr="00BA3435">
        <w:rPr>
          <w:b/>
          <w:bCs/>
          <w:color w:val="00B0F0"/>
          <w:sz w:val="22"/>
          <w:szCs w:val="22"/>
        </w:rPr>
        <w:t>2.3 Theory of change of the ISDAP-project</w:t>
      </w:r>
      <w:r w:rsidR="00BA3435">
        <w:rPr>
          <w:b/>
          <w:bCs/>
          <w:color w:val="00B0F0"/>
          <w:sz w:val="22"/>
          <w:szCs w:val="22"/>
        </w:rPr>
        <w:t>.</w:t>
      </w:r>
    </w:p>
    <w:p w14:paraId="2B7486A8" w14:textId="77777777" w:rsidR="00BA3435" w:rsidRPr="00BA3435" w:rsidRDefault="00BA3435" w:rsidP="00BA3435">
      <w:pPr>
        <w:jc w:val="both"/>
        <w:rPr>
          <w:b/>
          <w:bCs/>
          <w:color w:val="00B0F0"/>
          <w:sz w:val="22"/>
          <w:szCs w:val="22"/>
        </w:rPr>
      </w:pPr>
    </w:p>
    <w:p w14:paraId="497829D1" w14:textId="5C95ED63" w:rsidR="00533A50" w:rsidRPr="00D42862" w:rsidRDefault="00533A50" w:rsidP="00BA3435">
      <w:pPr>
        <w:jc w:val="both"/>
        <w:rPr>
          <w:szCs w:val="18"/>
        </w:rPr>
      </w:pPr>
      <w:r w:rsidRPr="00D42862">
        <w:rPr>
          <w:szCs w:val="18"/>
        </w:rPr>
        <w:t xml:space="preserve">The theory of Change for the Smallholder Dairy program has a strong relationship to that of TIDE-2 project and it asserts </w:t>
      </w:r>
      <w:r w:rsidR="007C0636" w:rsidRPr="00D42862">
        <w:rPr>
          <w:szCs w:val="18"/>
        </w:rPr>
        <w:t>that.</w:t>
      </w:r>
      <w:r w:rsidRPr="00D42862">
        <w:rPr>
          <w:szCs w:val="18"/>
        </w:rPr>
        <w:t xml:space="preserve"> </w:t>
      </w:r>
    </w:p>
    <w:p w14:paraId="21E91F27" w14:textId="77777777" w:rsidR="00533A50" w:rsidRPr="00D42862" w:rsidRDefault="00533A50" w:rsidP="00BA3435">
      <w:pPr>
        <w:jc w:val="both"/>
        <w:rPr>
          <w:szCs w:val="18"/>
        </w:rPr>
      </w:pPr>
      <w:r w:rsidRPr="00D42862">
        <w:rPr>
          <w:szCs w:val="18"/>
        </w:rPr>
        <w:t>to achieve transformation in the dairy sector, sector development and scaling of the interventions are key. It is assumed that many farmers can realise considerable income with improved input and output markets and enhanced knowledge of dairy management techniques. The sector development is also crucial for smallholders as it will create an enabling environment in which they can improve their dairy farming activities as a profitable business. As stated above, sector development is necessary but not sufficient. The critical difference between smallholders and more specialised farmers is the role of dairy within the farm system of the farmer. More specialised dairy farmers are investing more heavily in knowledge and finance to maximise their revenue.</w:t>
      </w:r>
    </w:p>
    <w:p w14:paraId="075CE80C" w14:textId="77777777" w:rsidR="00533A50" w:rsidRPr="00D42862" w:rsidRDefault="00533A50" w:rsidP="00BA3435">
      <w:pPr>
        <w:jc w:val="both"/>
        <w:rPr>
          <w:szCs w:val="18"/>
        </w:rPr>
      </w:pPr>
    </w:p>
    <w:p w14:paraId="123ED5C6" w14:textId="52D41D0F" w:rsidR="00533A50" w:rsidRPr="00BA3435" w:rsidRDefault="00EF0415" w:rsidP="00BA3435">
      <w:pPr>
        <w:jc w:val="both"/>
        <w:rPr>
          <w:b/>
          <w:bCs/>
          <w:color w:val="00B0F0"/>
          <w:sz w:val="22"/>
          <w:szCs w:val="22"/>
        </w:rPr>
      </w:pPr>
      <w:r w:rsidRPr="00BA3435">
        <w:rPr>
          <w:b/>
          <w:bCs/>
          <w:color w:val="00B0F0"/>
          <w:sz w:val="22"/>
          <w:szCs w:val="22"/>
        </w:rPr>
        <w:t xml:space="preserve">2.4 </w:t>
      </w:r>
      <w:r w:rsidR="00533A50" w:rsidRPr="00BA3435">
        <w:rPr>
          <w:b/>
          <w:bCs/>
          <w:color w:val="00B0F0"/>
          <w:sz w:val="22"/>
          <w:szCs w:val="22"/>
        </w:rPr>
        <w:t>Key Project Performance Indicators</w:t>
      </w:r>
    </w:p>
    <w:p w14:paraId="069E0CED" w14:textId="77777777" w:rsidR="00533A50" w:rsidRPr="00D42862" w:rsidRDefault="00533A50" w:rsidP="00BA3435">
      <w:pPr>
        <w:jc w:val="both"/>
        <w:rPr>
          <w:b/>
          <w:bCs/>
          <w:szCs w:val="18"/>
        </w:rPr>
      </w:pPr>
    </w:p>
    <w:tbl>
      <w:tblPr>
        <w:tblStyle w:val="TableGrid"/>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69"/>
        <w:gridCol w:w="969"/>
      </w:tblGrid>
      <w:tr w:rsidR="0031328D" w:rsidRPr="00D42862" w14:paraId="7707F867" w14:textId="77777777" w:rsidTr="00533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1FFCBAB9" w14:textId="77777777" w:rsidR="00533A50" w:rsidRPr="00D42862" w:rsidRDefault="00533A50" w:rsidP="00BA3435">
            <w:pPr>
              <w:spacing w:line="240" w:lineRule="auto"/>
              <w:jc w:val="both"/>
              <w:rPr>
                <w:b/>
                <w:bCs/>
                <w:color w:val="auto"/>
                <w:szCs w:val="18"/>
                <w:lang w:val="en-ZA"/>
              </w:rPr>
            </w:pPr>
            <w:r w:rsidRPr="00D42862">
              <w:rPr>
                <w:b/>
                <w:bCs/>
                <w:color w:val="auto"/>
                <w:szCs w:val="18"/>
                <w:lang w:val="en-ZA"/>
              </w:rPr>
              <w:t>Impact</w:t>
            </w:r>
          </w:p>
        </w:tc>
        <w:tc>
          <w:tcPr>
            <w:tcW w:w="6969" w:type="dxa"/>
            <w:shd w:val="clear" w:color="auto" w:fill="BFBFBF" w:themeFill="background1" w:themeFillShade="BF"/>
          </w:tcPr>
          <w:p w14:paraId="3D9408E0" w14:textId="77777777" w:rsidR="00533A50" w:rsidRPr="00D42862" w:rsidRDefault="00533A50" w:rsidP="00BA3435">
            <w:pPr>
              <w:spacing w:line="240" w:lineRule="auto"/>
              <w:jc w:val="both"/>
              <w:cnfStyle w:val="100000000000" w:firstRow="1" w:lastRow="0" w:firstColumn="0" w:lastColumn="0" w:oddVBand="0" w:evenVBand="0" w:oddHBand="0" w:evenHBand="0" w:firstRowFirstColumn="0" w:firstRowLastColumn="0" w:lastRowFirstColumn="0" w:lastRowLastColumn="0"/>
              <w:rPr>
                <w:b/>
                <w:bCs/>
                <w:color w:val="auto"/>
                <w:szCs w:val="18"/>
              </w:rPr>
            </w:pPr>
            <w:r w:rsidRPr="00D42862">
              <w:rPr>
                <w:b/>
                <w:bCs/>
                <w:color w:val="auto"/>
                <w:szCs w:val="18"/>
              </w:rPr>
              <w:t>Improved livelihood of smallholder dairy farmers</w:t>
            </w:r>
          </w:p>
        </w:tc>
        <w:tc>
          <w:tcPr>
            <w:tcW w:w="969" w:type="dxa"/>
            <w:shd w:val="clear" w:color="auto" w:fill="BFBFBF" w:themeFill="background1" w:themeFillShade="BF"/>
          </w:tcPr>
          <w:p w14:paraId="73253FA8" w14:textId="77777777" w:rsidR="00533A50" w:rsidRPr="00D42862" w:rsidRDefault="00533A50" w:rsidP="00BA3435">
            <w:pPr>
              <w:spacing w:line="240" w:lineRule="auto"/>
              <w:jc w:val="both"/>
              <w:cnfStyle w:val="100000000000" w:firstRow="1" w:lastRow="0" w:firstColumn="0" w:lastColumn="0" w:oddVBand="0" w:evenVBand="0" w:oddHBand="0" w:evenHBand="0" w:firstRowFirstColumn="0" w:firstRowLastColumn="0" w:lastRowFirstColumn="0" w:lastRowLastColumn="0"/>
              <w:rPr>
                <w:color w:val="auto"/>
                <w:szCs w:val="18"/>
                <w:lang w:val="en-ZA"/>
              </w:rPr>
            </w:pPr>
          </w:p>
        </w:tc>
      </w:tr>
      <w:tr w:rsidR="0031328D" w:rsidRPr="00D42862" w14:paraId="07B8E670"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07D188AC" w14:textId="77777777" w:rsidR="00533A50" w:rsidRPr="00D42862" w:rsidRDefault="00533A50" w:rsidP="00BA3435">
            <w:pPr>
              <w:spacing w:line="240" w:lineRule="auto"/>
              <w:jc w:val="both"/>
              <w:rPr>
                <w:szCs w:val="18"/>
                <w:lang w:val="en-ZA"/>
              </w:rPr>
            </w:pPr>
            <w:r w:rsidRPr="00D42862">
              <w:rPr>
                <w:szCs w:val="18"/>
                <w:lang w:val="en-ZA"/>
              </w:rPr>
              <w:t>IM.1</w:t>
            </w:r>
          </w:p>
        </w:tc>
        <w:tc>
          <w:tcPr>
            <w:tcW w:w="6969" w:type="dxa"/>
            <w:shd w:val="clear" w:color="auto" w:fill="auto"/>
          </w:tcPr>
          <w:p w14:paraId="0C74EEB4"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rPr>
              <w:t>The number of smallholder farmers that increased their income as a result of the provided assistance by at least 20% disaggregated by gender and age</w:t>
            </w:r>
          </w:p>
        </w:tc>
        <w:tc>
          <w:tcPr>
            <w:tcW w:w="969" w:type="dxa"/>
            <w:shd w:val="clear" w:color="auto" w:fill="auto"/>
          </w:tcPr>
          <w:p w14:paraId="7CF6160D"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5000</w:t>
            </w:r>
          </w:p>
        </w:tc>
      </w:tr>
      <w:tr w:rsidR="0031328D" w:rsidRPr="00D42862" w14:paraId="06B6E3BC"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5B6D17F3" w14:textId="77777777" w:rsidR="00533A50" w:rsidRPr="00D42862" w:rsidRDefault="00533A50" w:rsidP="00BA3435">
            <w:pPr>
              <w:spacing w:line="240" w:lineRule="auto"/>
              <w:jc w:val="both"/>
              <w:rPr>
                <w:szCs w:val="18"/>
                <w:lang w:val="en-ZA"/>
              </w:rPr>
            </w:pPr>
            <w:r w:rsidRPr="00D42862">
              <w:rPr>
                <w:szCs w:val="18"/>
                <w:lang w:val="en-ZA"/>
              </w:rPr>
              <w:t>IM.2</w:t>
            </w:r>
          </w:p>
        </w:tc>
        <w:tc>
          <w:tcPr>
            <w:tcW w:w="6969" w:type="dxa"/>
          </w:tcPr>
          <w:p w14:paraId="033CA723"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Number of Full-Time Equivalent (FTE) job opportunities created, either on- and off-farm, disaggregated by gender and age (target: 500 jobs).</w:t>
            </w:r>
          </w:p>
        </w:tc>
        <w:tc>
          <w:tcPr>
            <w:tcW w:w="969" w:type="dxa"/>
          </w:tcPr>
          <w:p w14:paraId="48E4A5BB"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500</w:t>
            </w:r>
          </w:p>
        </w:tc>
      </w:tr>
      <w:tr w:rsidR="0031328D" w:rsidRPr="00D42862" w14:paraId="36CD70F4"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314B63E3" w14:textId="77777777" w:rsidR="00533A50" w:rsidRPr="00D42862" w:rsidRDefault="00533A50" w:rsidP="00BA3435">
            <w:pPr>
              <w:spacing w:line="240" w:lineRule="auto"/>
              <w:jc w:val="both"/>
              <w:rPr>
                <w:szCs w:val="18"/>
                <w:lang w:val="en-ZA"/>
              </w:rPr>
            </w:pPr>
            <w:r w:rsidRPr="00D42862">
              <w:rPr>
                <w:szCs w:val="18"/>
                <w:lang w:val="en-ZA"/>
              </w:rPr>
              <w:t>1M.3</w:t>
            </w:r>
          </w:p>
        </w:tc>
        <w:tc>
          <w:tcPr>
            <w:tcW w:w="6969" w:type="dxa"/>
          </w:tcPr>
          <w:p w14:paraId="3443C4F8"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bookmarkStart w:id="6" w:name="OLE_LINK25"/>
            <w:bookmarkStart w:id="7" w:name="OLE_LINK26"/>
            <w:bookmarkStart w:id="8" w:name="OLE_LINK66"/>
            <w:bookmarkStart w:id="9" w:name="OLE_LINK67"/>
            <w:r w:rsidRPr="00D42862">
              <w:rPr>
                <w:szCs w:val="18"/>
              </w:rPr>
              <w:t>Percentage increase of the target population with acceptable Food Consumption Score (FCS) disaggregated by district</w:t>
            </w:r>
            <w:bookmarkEnd w:id="6"/>
            <w:bookmarkEnd w:id="7"/>
            <w:r w:rsidRPr="00D42862">
              <w:rPr>
                <w:szCs w:val="18"/>
              </w:rPr>
              <w:t xml:space="preserve"> (target 10%).</w:t>
            </w:r>
            <w:bookmarkEnd w:id="8"/>
            <w:bookmarkEnd w:id="9"/>
          </w:p>
        </w:tc>
        <w:tc>
          <w:tcPr>
            <w:tcW w:w="969" w:type="dxa"/>
          </w:tcPr>
          <w:p w14:paraId="26E83F34"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10%</w:t>
            </w:r>
          </w:p>
        </w:tc>
      </w:tr>
      <w:tr w:rsidR="0031328D" w:rsidRPr="00D42862" w14:paraId="0D9CB233"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027309ED" w14:textId="77777777" w:rsidR="00533A50" w:rsidRPr="00D42862" w:rsidRDefault="00533A50" w:rsidP="00BA3435">
            <w:pPr>
              <w:spacing w:line="240" w:lineRule="auto"/>
              <w:jc w:val="both"/>
              <w:rPr>
                <w:b/>
                <w:bCs/>
                <w:szCs w:val="18"/>
                <w:lang w:val="en-ZA"/>
              </w:rPr>
            </w:pPr>
            <w:r w:rsidRPr="00D42862">
              <w:rPr>
                <w:b/>
                <w:bCs/>
                <w:szCs w:val="18"/>
                <w:lang w:val="en-ZA"/>
              </w:rPr>
              <w:t>Outcome 1</w:t>
            </w:r>
          </w:p>
        </w:tc>
        <w:tc>
          <w:tcPr>
            <w:tcW w:w="6969" w:type="dxa"/>
            <w:shd w:val="clear" w:color="auto" w:fill="BFBFBF" w:themeFill="background1" w:themeFillShade="BF"/>
          </w:tcPr>
          <w:p w14:paraId="12506EF1"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b/>
                <w:bCs/>
                <w:szCs w:val="18"/>
              </w:rPr>
              <w:t>Improved integrated smallholder dairy farm production and productivity</w:t>
            </w:r>
          </w:p>
        </w:tc>
        <w:tc>
          <w:tcPr>
            <w:tcW w:w="969" w:type="dxa"/>
            <w:shd w:val="clear" w:color="auto" w:fill="BFBFBF" w:themeFill="background1" w:themeFillShade="BF"/>
          </w:tcPr>
          <w:p w14:paraId="32BCBC9D"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p>
        </w:tc>
      </w:tr>
      <w:tr w:rsidR="0031328D" w:rsidRPr="00D42862" w14:paraId="29674CC6"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4F6CF5DD" w14:textId="77777777" w:rsidR="00533A50" w:rsidRPr="00D42862" w:rsidRDefault="00533A50" w:rsidP="00BA3435">
            <w:pPr>
              <w:spacing w:line="240" w:lineRule="auto"/>
              <w:jc w:val="both"/>
              <w:rPr>
                <w:szCs w:val="18"/>
                <w:lang w:val="en-ZA"/>
              </w:rPr>
            </w:pPr>
            <w:r w:rsidRPr="00D42862">
              <w:rPr>
                <w:szCs w:val="18"/>
                <w:lang w:val="en-ZA"/>
              </w:rPr>
              <w:t>1.1</w:t>
            </w:r>
          </w:p>
        </w:tc>
        <w:tc>
          <w:tcPr>
            <w:tcW w:w="6969" w:type="dxa"/>
          </w:tcPr>
          <w:p w14:paraId="222106FD"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Average percentage increase of farm-produced milk volume for targeted smallholder farmers, disaggregated by dairy farm size, season, age group and gender (30% increase).</w:t>
            </w:r>
          </w:p>
        </w:tc>
        <w:tc>
          <w:tcPr>
            <w:tcW w:w="969" w:type="dxa"/>
          </w:tcPr>
          <w:p w14:paraId="6815DA5F"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30%</w:t>
            </w:r>
          </w:p>
        </w:tc>
      </w:tr>
      <w:tr w:rsidR="0031328D" w:rsidRPr="00D42862" w14:paraId="2B1438F2"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7AF90EBC" w14:textId="77777777" w:rsidR="00533A50" w:rsidRPr="00D42862" w:rsidRDefault="00533A50" w:rsidP="00BA3435">
            <w:pPr>
              <w:spacing w:line="240" w:lineRule="auto"/>
              <w:jc w:val="both"/>
              <w:rPr>
                <w:szCs w:val="18"/>
                <w:lang w:val="en-ZA"/>
              </w:rPr>
            </w:pPr>
            <w:r w:rsidRPr="00D42862">
              <w:rPr>
                <w:szCs w:val="18"/>
                <w:lang w:val="en-ZA"/>
              </w:rPr>
              <w:t>1.2</w:t>
            </w:r>
          </w:p>
        </w:tc>
        <w:tc>
          <w:tcPr>
            <w:tcW w:w="6969" w:type="dxa"/>
          </w:tcPr>
          <w:p w14:paraId="3FB73516"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bookmarkStart w:id="10" w:name="OLE_LINK79"/>
            <w:bookmarkStart w:id="11" w:name="OLE_LINK80"/>
            <w:r w:rsidRPr="00D42862">
              <w:rPr>
                <w:szCs w:val="18"/>
              </w:rPr>
              <w:t xml:space="preserve">The number of smallholder farmers that have adopted new technologies promoted by the project </w:t>
            </w:r>
            <w:bookmarkEnd w:id="10"/>
            <w:bookmarkEnd w:id="11"/>
          </w:p>
        </w:tc>
        <w:tc>
          <w:tcPr>
            <w:tcW w:w="969" w:type="dxa"/>
          </w:tcPr>
          <w:p w14:paraId="727C7152"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5000</w:t>
            </w:r>
          </w:p>
        </w:tc>
      </w:tr>
      <w:tr w:rsidR="0031328D" w:rsidRPr="00D42862" w14:paraId="4E56CB81"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41D973F4" w14:textId="77777777" w:rsidR="00533A50" w:rsidRPr="00D42862" w:rsidRDefault="00533A50" w:rsidP="00BA3435">
            <w:pPr>
              <w:spacing w:line="240" w:lineRule="auto"/>
              <w:jc w:val="both"/>
              <w:rPr>
                <w:szCs w:val="18"/>
                <w:lang w:val="en-ZA"/>
              </w:rPr>
            </w:pPr>
            <w:r w:rsidRPr="00D42862">
              <w:rPr>
                <w:szCs w:val="18"/>
                <w:lang w:val="en-ZA"/>
              </w:rPr>
              <w:t>1.2</w:t>
            </w:r>
          </w:p>
        </w:tc>
        <w:tc>
          <w:tcPr>
            <w:tcW w:w="6969" w:type="dxa"/>
          </w:tcPr>
          <w:p w14:paraId="4E4241E3"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 xml:space="preserve">Additional percentage increase of milk sales for targeted smallholder farmers, disaggregated by dairy farm size, season, age group and gender </w:t>
            </w:r>
          </w:p>
        </w:tc>
        <w:tc>
          <w:tcPr>
            <w:tcW w:w="969" w:type="dxa"/>
          </w:tcPr>
          <w:p w14:paraId="5EE69108"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 xml:space="preserve">25% </w:t>
            </w:r>
          </w:p>
        </w:tc>
      </w:tr>
      <w:tr w:rsidR="0031328D" w:rsidRPr="00D42862" w14:paraId="1C2AEED4"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72C9E768" w14:textId="77777777" w:rsidR="00533A50" w:rsidRPr="00D42862" w:rsidRDefault="00533A50" w:rsidP="00BA3435">
            <w:pPr>
              <w:spacing w:line="240" w:lineRule="auto"/>
              <w:jc w:val="both"/>
              <w:rPr>
                <w:b/>
                <w:bCs/>
                <w:szCs w:val="18"/>
                <w:lang w:val="en-ZA"/>
              </w:rPr>
            </w:pPr>
            <w:r w:rsidRPr="00D42862">
              <w:rPr>
                <w:b/>
                <w:bCs/>
                <w:szCs w:val="18"/>
                <w:lang w:val="en-ZA"/>
              </w:rPr>
              <w:t>Outcome 2</w:t>
            </w:r>
          </w:p>
        </w:tc>
        <w:tc>
          <w:tcPr>
            <w:tcW w:w="6969" w:type="dxa"/>
            <w:shd w:val="clear" w:color="auto" w:fill="BFBFBF" w:themeFill="background1" w:themeFillShade="BF"/>
          </w:tcPr>
          <w:p w14:paraId="46BF6EED"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b/>
                <w:bCs/>
                <w:szCs w:val="18"/>
              </w:rPr>
              <w:t>Improved milk quality</w:t>
            </w:r>
          </w:p>
        </w:tc>
        <w:tc>
          <w:tcPr>
            <w:tcW w:w="969" w:type="dxa"/>
            <w:shd w:val="clear" w:color="auto" w:fill="BFBFBF" w:themeFill="background1" w:themeFillShade="BF"/>
          </w:tcPr>
          <w:p w14:paraId="390F5489"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p>
        </w:tc>
      </w:tr>
      <w:tr w:rsidR="0031328D" w:rsidRPr="00D42862" w14:paraId="32830185"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3618F370" w14:textId="77777777" w:rsidR="00533A50" w:rsidRPr="00D42862" w:rsidRDefault="00533A50" w:rsidP="00BA3435">
            <w:pPr>
              <w:spacing w:line="240" w:lineRule="auto"/>
              <w:jc w:val="both"/>
              <w:rPr>
                <w:szCs w:val="18"/>
                <w:lang w:val="en-ZA"/>
              </w:rPr>
            </w:pPr>
            <w:r w:rsidRPr="00D42862">
              <w:rPr>
                <w:szCs w:val="18"/>
                <w:lang w:val="en-ZA"/>
              </w:rPr>
              <w:t>2.1</w:t>
            </w:r>
          </w:p>
        </w:tc>
        <w:tc>
          <w:tcPr>
            <w:tcW w:w="6969" w:type="dxa"/>
          </w:tcPr>
          <w:p w14:paraId="763FE0E8"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The number of smallholder farmers with improved milk handling and hygiene practices</w:t>
            </w:r>
          </w:p>
        </w:tc>
        <w:tc>
          <w:tcPr>
            <w:tcW w:w="969" w:type="dxa"/>
          </w:tcPr>
          <w:p w14:paraId="0BA42097"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5000</w:t>
            </w:r>
          </w:p>
        </w:tc>
      </w:tr>
      <w:tr w:rsidR="0031328D" w:rsidRPr="00D42862" w14:paraId="49400C09"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66DE1BCA" w14:textId="77777777" w:rsidR="00533A50" w:rsidRPr="00D42862" w:rsidRDefault="00533A50" w:rsidP="00BA3435">
            <w:pPr>
              <w:spacing w:line="240" w:lineRule="auto"/>
              <w:jc w:val="both"/>
              <w:rPr>
                <w:szCs w:val="18"/>
                <w:lang w:val="en-ZA"/>
              </w:rPr>
            </w:pPr>
            <w:r w:rsidRPr="00D42862">
              <w:rPr>
                <w:szCs w:val="18"/>
                <w:lang w:val="en-ZA"/>
              </w:rPr>
              <w:t>2.2</w:t>
            </w:r>
          </w:p>
        </w:tc>
        <w:tc>
          <w:tcPr>
            <w:tcW w:w="6969" w:type="dxa"/>
          </w:tcPr>
          <w:p w14:paraId="71DCF15E"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bookmarkStart w:id="12" w:name="OLE_LINK117"/>
            <w:bookmarkStart w:id="13" w:name="OLE_LINK118"/>
            <w:r w:rsidRPr="00D42862">
              <w:rPr>
                <w:szCs w:val="18"/>
              </w:rPr>
              <w:t>The number of targeted MCCs adhering to good practices for good milk handling</w:t>
            </w:r>
            <w:bookmarkEnd w:id="12"/>
            <w:bookmarkEnd w:id="13"/>
          </w:p>
        </w:tc>
        <w:tc>
          <w:tcPr>
            <w:tcW w:w="969" w:type="dxa"/>
          </w:tcPr>
          <w:p w14:paraId="44248CF2"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20</w:t>
            </w:r>
          </w:p>
        </w:tc>
      </w:tr>
      <w:tr w:rsidR="0031328D" w:rsidRPr="00D42862" w14:paraId="2CF9224D"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391A933B" w14:textId="77777777" w:rsidR="00533A50" w:rsidRPr="00D42862" w:rsidRDefault="00533A50" w:rsidP="00BA3435">
            <w:pPr>
              <w:spacing w:line="240" w:lineRule="auto"/>
              <w:jc w:val="both"/>
              <w:rPr>
                <w:b/>
                <w:bCs/>
                <w:szCs w:val="18"/>
                <w:lang w:val="en-ZA"/>
              </w:rPr>
            </w:pPr>
            <w:r w:rsidRPr="00D42862">
              <w:rPr>
                <w:b/>
                <w:bCs/>
                <w:szCs w:val="18"/>
                <w:lang w:val="en-ZA"/>
              </w:rPr>
              <w:t>Outcome 3</w:t>
            </w:r>
          </w:p>
        </w:tc>
        <w:tc>
          <w:tcPr>
            <w:tcW w:w="6969" w:type="dxa"/>
            <w:shd w:val="clear" w:color="auto" w:fill="BFBFBF" w:themeFill="background1" w:themeFillShade="BF"/>
          </w:tcPr>
          <w:p w14:paraId="4B8F0FBB"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b/>
                <w:bCs/>
                <w:szCs w:val="18"/>
              </w:rPr>
              <w:t>Improved inclusive dairy value chain</w:t>
            </w:r>
          </w:p>
        </w:tc>
        <w:tc>
          <w:tcPr>
            <w:tcW w:w="969" w:type="dxa"/>
            <w:shd w:val="clear" w:color="auto" w:fill="BFBFBF" w:themeFill="background1" w:themeFillShade="BF"/>
          </w:tcPr>
          <w:p w14:paraId="4A5B55D8"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p>
        </w:tc>
      </w:tr>
      <w:tr w:rsidR="0031328D" w:rsidRPr="00D42862" w14:paraId="65A89558"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6CA5ADD9" w14:textId="77777777" w:rsidR="00533A50" w:rsidRPr="00D42862" w:rsidRDefault="00533A50" w:rsidP="00BA3435">
            <w:pPr>
              <w:spacing w:line="240" w:lineRule="auto"/>
              <w:jc w:val="both"/>
              <w:rPr>
                <w:szCs w:val="18"/>
                <w:lang w:val="en-ZA"/>
              </w:rPr>
            </w:pPr>
            <w:r w:rsidRPr="00D42862">
              <w:rPr>
                <w:szCs w:val="18"/>
                <w:lang w:val="en-ZA"/>
              </w:rPr>
              <w:t>3.1</w:t>
            </w:r>
          </w:p>
        </w:tc>
        <w:tc>
          <w:tcPr>
            <w:tcW w:w="6969" w:type="dxa"/>
          </w:tcPr>
          <w:p w14:paraId="2B0B61C8"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No. of cooperatives and farmer organisations adhering to better governance, financial management and business practices</w:t>
            </w:r>
          </w:p>
        </w:tc>
        <w:tc>
          <w:tcPr>
            <w:tcW w:w="969" w:type="dxa"/>
          </w:tcPr>
          <w:p w14:paraId="6EB30A8C"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16</w:t>
            </w:r>
          </w:p>
        </w:tc>
      </w:tr>
      <w:tr w:rsidR="0031328D" w:rsidRPr="00D42862" w14:paraId="757751C0"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0F762DCF" w14:textId="77777777" w:rsidR="00533A50" w:rsidRPr="00D42862" w:rsidRDefault="00533A50" w:rsidP="00BA3435">
            <w:pPr>
              <w:spacing w:line="240" w:lineRule="auto"/>
              <w:jc w:val="both"/>
              <w:rPr>
                <w:szCs w:val="18"/>
                <w:lang w:val="en-ZA"/>
              </w:rPr>
            </w:pPr>
            <w:r w:rsidRPr="00D42862">
              <w:rPr>
                <w:szCs w:val="18"/>
                <w:lang w:val="en-ZA"/>
              </w:rPr>
              <w:t>3.2</w:t>
            </w:r>
          </w:p>
        </w:tc>
        <w:tc>
          <w:tcPr>
            <w:tcW w:w="6969" w:type="dxa"/>
          </w:tcPr>
          <w:p w14:paraId="43C813B3"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The number of farmers with improved livestock support services (input supply, financial, animal health, advisory and breeding services)</w:t>
            </w:r>
          </w:p>
        </w:tc>
        <w:tc>
          <w:tcPr>
            <w:tcW w:w="969" w:type="dxa"/>
          </w:tcPr>
          <w:p w14:paraId="6DA88806"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5000</w:t>
            </w:r>
          </w:p>
        </w:tc>
      </w:tr>
      <w:tr w:rsidR="0031328D" w:rsidRPr="00D42862" w14:paraId="4D13E025"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7D883173" w14:textId="77777777" w:rsidR="00533A50" w:rsidRPr="00D42862" w:rsidRDefault="00533A50" w:rsidP="00BA3435">
            <w:pPr>
              <w:spacing w:line="240" w:lineRule="auto"/>
              <w:jc w:val="both"/>
              <w:rPr>
                <w:szCs w:val="18"/>
                <w:lang w:val="en-ZA"/>
              </w:rPr>
            </w:pPr>
            <w:r w:rsidRPr="00D42862">
              <w:rPr>
                <w:szCs w:val="18"/>
                <w:lang w:val="en-ZA"/>
              </w:rPr>
              <w:t>3.4</w:t>
            </w:r>
          </w:p>
        </w:tc>
        <w:tc>
          <w:tcPr>
            <w:tcW w:w="6969" w:type="dxa"/>
          </w:tcPr>
          <w:p w14:paraId="6CDE0EF9"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 xml:space="preserve">Percentage increase of smallholder farmers selling milk to cooperatives </w:t>
            </w:r>
          </w:p>
        </w:tc>
        <w:tc>
          <w:tcPr>
            <w:tcW w:w="969" w:type="dxa"/>
          </w:tcPr>
          <w:p w14:paraId="1DF14C96"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20%</w:t>
            </w:r>
          </w:p>
        </w:tc>
      </w:tr>
      <w:tr w:rsidR="0031328D" w:rsidRPr="00D42862" w14:paraId="28B7FF64"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0E8ADA7D" w14:textId="77777777" w:rsidR="00533A50" w:rsidRPr="00D42862" w:rsidRDefault="00533A50" w:rsidP="00BA3435">
            <w:pPr>
              <w:spacing w:line="240" w:lineRule="auto"/>
              <w:jc w:val="both"/>
              <w:rPr>
                <w:szCs w:val="18"/>
                <w:lang w:val="en-ZA"/>
              </w:rPr>
            </w:pPr>
            <w:r w:rsidRPr="00D42862">
              <w:rPr>
                <w:szCs w:val="18"/>
                <w:lang w:val="en-ZA"/>
              </w:rPr>
              <w:t>3.5</w:t>
            </w:r>
          </w:p>
        </w:tc>
        <w:tc>
          <w:tcPr>
            <w:tcW w:w="6969" w:type="dxa"/>
          </w:tcPr>
          <w:p w14:paraId="7FECA83A"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bookmarkStart w:id="14" w:name="OLE_LINK121"/>
            <w:bookmarkStart w:id="15" w:name="OLE_LINK122"/>
            <w:bookmarkStart w:id="16" w:name="OLE_LINK140"/>
            <w:bookmarkStart w:id="17" w:name="OLE_LINK141"/>
            <w:r w:rsidRPr="00D42862">
              <w:rPr>
                <w:szCs w:val="18"/>
              </w:rPr>
              <w:t>The number of new initiatives to supply dairy support services to smallholders disaggregated by type of service</w:t>
            </w:r>
            <w:bookmarkEnd w:id="14"/>
            <w:bookmarkEnd w:id="15"/>
            <w:bookmarkEnd w:id="16"/>
            <w:bookmarkEnd w:id="17"/>
          </w:p>
        </w:tc>
        <w:tc>
          <w:tcPr>
            <w:tcW w:w="969" w:type="dxa"/>
          </w:tcPr>
          <w:p w14:paraId="34FEA977"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25</w:t>
            </w:r>
          </w:p>
        </w:tc>
      </w:tr>
      <w:tr w:rsidR="0031328D" w:rsidRPr="00D42862" w14:paraId="0487BD8E"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35CD6BE8" w14:textId="77777777" w:rsidR="00533A50" w:rsidRPr="00D42862" w:rsidRDefault="00533A50" w:rsidP="00BA3435">
            <w:pPr>
              <w:spacing w:line="240" w:lineRule="auto"/>
              <w:jc w:val="both"/>
              <w:rPr>
                <w:b/>
                <w:bCs/>
                <w:szCs w:val="18"/>
                <w:lang w:val="en-ZA"/>
              </w:rPr>
            </w:pPr>
            <w:r w:rsidRPr="00D42862">
              <w:rPr>
                <w:b/>
                <w:bCs/>
                <w:szCs w:val="18"/>
                <w:lang w:val="en-ZA"/>
              </w:rPr>
              <w:t>Outcome 4</w:t>
            </w:r>
          </w:p>
        </w:tc>
        <w:tc>
          <w:tcPr>
            <w:tcW w:w="6969" w:type="dxa"/>
            <w:shd w:val="clear" w:color="auto" w:fill="BFBFBF" w:themeFill="background1" w:themeFillShade="BF"/>
          </w:tcPr>
          <w:p w14:paraId="24B16F30"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b/>
                <w:bCs/>
                <w:szCs w:val="18"/>
              </w:rPr>
              <w:t>Improved human nutrition</w:t>
            </w:r>
          </w:p>
        </w:tc>
        <w:tc>
          <w:tcPr>
            <w:tcW w:w="969" w:type="dxa"/>
            <w:shd w:val="clear" w:color="auto" w:fill="BFBFBF" w:themeFill="background1" w:themeFillShade="BF"/>
          </w:tcPr>
          <w:p w14:paraId="460337FD"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p>
        </w:tc>
      </w:tr>
      <w:tr w:rsidR="0031328D" w:rsidRPr="00D42862" w14:paraId="3ED8D38B"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667F9F7D" w14:textId="77777777" w:rsidR="00533A50" w:rsidRPr="00D42862" w:rsidRDefault="00533A50" w:rsidP="00BA3435">
            <w:pPr>
              <w:spacing w:line="240" w:lineRule="auto"/>
              <w:jc w:val="both"/>
              <w:rPr>
                <w:szCs w:val="18"/>
                <w:lang w:val="en-ZA"/>
              </w:rPr>
            </w:pPr>
            <w:r w:rsidRPr="00D42862">
              <w:rPr>
                <w:szCs w:val="18"/>
                <w:lang w:val="en-ZA"/>
              </w:rPr>
              <w:t>4.1</w:t>
            </w:r>
          </w:p>
        </w:tc>
        <w:tc>
          <w:tcPr>
            <w:tcW w:w="6969" w:type="dxa"/>
          </w:tcPr>
          <w:p w14:paraId="4916735F"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rPr>
              <w:t>The additional number of households with access to diverse diets, disaggregated by age, gender and district</w:t>
            </w:r>
          </w:p>
        </w:tc>
        <w:tc>
          <w:tcPr>
            <w:tcW w:w="969" w:type="dxa"/>
          </w:tcPr>
          <w:p w14:paraId="7D54F21A"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2000</w:t>
            </w:r>
          </w:p>
        </w:tc>
      </w:tr>
      <w:tr w:rsidR="0031328D" w:rsidRPr="00D42862" w14:paraId="5E99AE9C"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1F385E54" w14:textId="77777777" w:rsidR="00533A50" w:rsidRPr="00D42862" w:rsidRDefault="00533A50" w:rsidP="00BA3435">
            <w:pPr>
              <w:spacing w:line="240" w:lineRule="auto"/>
              <w:jc w:val="both"/>
              <w:rPr>
                <w:szCs w:val="18"/>
                <w:lang w:val="en-ZA"/>
              </w:rPr>
            </w:pPr>
            <w:r w:rsidRPr="00D42862">
              <w:rPr>
                <w:szCs w:val="18"/>
                <w:lang w:val="en-ZA"/>
              </w:rPr>
              <w:t>4.2</w:t>
            </w:r>
          </w:p>
        </w:tc>
        <w:tc>
          <w:tcPr>
            <w:tcW w:w="6969" w:type="dxa"/>
          </w:tcPr>
          <w:p w14:paraId="50878665"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US"/>
              </w:rPr>
            </w:pPr>
            <w:r w:rsidRPr="00D42862">
              <w:rPr>
                <w:szCs w:val="18"/>
              </w:rPr>
              <w:t>The additional number of children consuming dairy products, disaggregated by age, gender and district</w:t>
            </w:r>
          </w:p>
        </w:tc>
        <w:tc>
          <w:tcPr>
            <w:tcW w:w="969" w:type="dxa"/>
          </w:tcPr>
          <w:p w14:paraId="7A3BAE46"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45,000</w:t>
            </w:r>
          </w:p>
        </w:tc>
      </w:tr>
      <w:tr w:rsidR="0031328D" w:rsidRPr="00D42862" w14:paraId="6C3DC63B"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48CC8830" w14:textId="77777777" w:rsidR="00533A50" w:rsidRPr="00D42862" w:rsidRDefault="00533A50" w:rsidP="00BA3435">
            <w:pPr>
              <w:spacing w:line="240" w:lineRule="auto"/>
              <w:jc w:val="both"/>
              <w:rPr>
                <w:szCs w:val="18"/>
                <w:lang w:val="en-ZA"/>
              </w:rPr>
            </w:pPr>
            <w:r w:rsidRPr="00D42862">
              <w:rPr>
                <w:szCs w:val="18"/>
                <w:lang w:val="en-ZA"/>
              </w:rPr>
              <w:t>4.3</w:t>
            </w:r>
          </w:p>
        </w:tc>
        <w:tc>
          <w:tcPr>
            <w:tcW w:w="6969" w:type="dxa"/>
          </w:tcPr>
          <w:p w14:paraId="69917A64"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rPr>
            </w:pPr>
            <w:r w:rsidRPr="00D42862">
              <w:rPr>
                <w:szCs w:val="18"/>
                <w:lang w:val="en-US"/>
              </w:rPr>
              <w:t>50,000 people directly reached with activities to improve nutrition</w:t>
            </w:r>
          </w:p>
        </w:tc>
        <w:tc>
          <w:tcPr>
            <w:tcW w:w="969" w:type="dxa"/>
          </w:tcPr>
          <w:p w14:paraId="0D11502F" w14:textId="77777777" w:rsidR="00533A50" w:rsidRPr="00D42862" w:rsidRDefault="00533A50" w:rsidP="00BA3435">
            <w:pPr>
              <w:spacing w:line="240" w:lineRule="auto"/>
              <w:jc w:val="both"/>
              <w:cnfStyle w:val="000000000000" w:firstRow="0" w:lastRow="0" w:firstColumn="0" w:lastColumn="0" w:oddVBand="0" w:evenVBand="0" w:oddHBand="0" w:evenHBand="0" w:firstRowFirstColumn="0" w:firstRowLastColumn="0" w:lastRowFirstColumn="0" w:lastRowLastColumn="0"/>
              <w:rPr>
                <w:szCs w:val="18"/>
                <w:lang w:val="en-ZA"/>
              </w:rPr>
            </w:pPr>
            <w:r w:rsidRPr="00D42862">
              <w:rPr>
                <w:szCs w:val="18"/>
                <w:lang w:val="en-ZA"/>
              </w:rPr>
              <w:t>50,0000</w:t>
            </w:r>
          </w:p>
        </w:tc>
      </w:tr>
      <w:bookmarkEnd w:id="2"/>
      <w:bookmarkEnd w:id="3"/>
      <w:bookmarkEnd w:id="4"/>
      <w:bookmarkEnd w:id="5"/>
    </w:tbl>
    <w:p w14:paraId="36AD939D" w14:textId="77777777" w:rsidR="00D42862" w:rsidRPr="00D42862" w:rsidRDefault="00D42862" w:rsidP="00BA3435">
      <w:pPr>
        <w:jc w:val="both"/>
        <w:rPr>
          <w:b/>
          <w:bCs/>
          <w:color w:val="00B0F0"/>
          <w:szCs w:val="18"/>
        </w:rPr>
      </w:pPr>
    </w:p>
    <w:p w14:paraId="01446E70" w14:textId="7B42821D" w:rsidR="00533A50" w:rsidRPr="00D42862" w:rsidRDefault="00EF0415" w:rsidP="00BA3435">
      <w:pPr>
        <w:jc w:val="both"/>
        <w:rPr>
          <w:b/>
          <w:bCs/>
          <w:color w:val="00B0F0"/>
          <w:szCs w:val="18"/>
        </w:rPr>
      </w:pPr>
      <w:r w:rsidRPr="00D42862">
        <w:rPr>
          <w:b/>
          <w:bCs/>
          <w:color w:val="00B0F0"/>
          <w:szCs w:val="18"/>
        </w:rPr>
        <w:t xml:space="preserve">3.0 </w:t>
      </w:r>
      <w:r w:rsidR="00533A50" w:rsidRPr="00D42862">
        <w:rPr>
          <w:b/>
          <w:bCs/>
          <w:color w:val="00B0F0"/>
          <w:szCs w:val="18"/>
        </w:rPr>
        <w:t xml:space="preserve">Purpose of the </w:t>
      </w:r>
      <w:r w:rsidR="00BA3435">
        <w:rPr>
          <w:b/>
          <w:bCs/>
          <w:color w:val="00B0F0"/>
          <w:szCs w:val="18"/>
        </w:rPr>
        <w:t>GESI assignment.</w:t>
      </w:r>
    </w:p>
    <w:p w14:paraId="67C54F0F" w14:textId="77777777" w:rsidR="00A718DE" w:rsidRPr="00D42862" w:rsidRDefault="00A718DE" w:rsidP="00BA3435">
      <w:pPr>
        <w:jc w:val="both"/>
        <w:rPr>
          <w:b/>
          <w:bCs/>
          <w:color w:val="00B0F0"/>
          <w:szCs w:val="18"/>
        </w:rPr>
      </w:pPr>
    </w:p>
    <w:p w14:paraId="5489A80A" w14:textId="77777777" w:rsidR="00A718DE" w:rsidRPr="00D42862" w:rsidRDefault="00A718DE" w:rsidP="00BA3435">
      <w:pPr>
        <w:jc w:val="both"/>
        <w:rPr>
          <w:rFonts w:cs="Arial"/>
          <w:b/>
          <w:bCs/>
          <w:szCs w:val="18"/>
        </w:rPr>
      </w:pPr>
      <w:r w:rsidRPr="00D42862">
        <w:rPr>
          <w:rFonts w:cs="Arial"/>
          <w:color w:val="000000" w:themeColor="text1"/>
          <w:szCs w:val="18"/>
          <w:shd w:val="clear" w:color="auto" w:fill="FFFFFF"/>
        </w:rPr>
        <w:t xml:space="preserve">The focus on an institutional setting means that gender mainstreaming is to be conceived as a strategy which is pursued as a systematic and planned process for organisational learning within an institution to achieve gender equality internally and especially regarding working results and outcomes. The goal of implementing gender mainstreaming is to ensure an output and outcome that </w:t>
      </w:r>
      <w:r w:rsidRPr="00D42862">
        <w:rPr>
          <w:rFonts w:cs="Arial"/>
          <w:color w:val="000000" w:themeColor="text1"/>
          <w:szCs w:val="18"/>
          <w:shd w:val="clear" w:color="auto" w:fill="FFFFFF"/>
        </w:rPr>
        <w:lastRenderedPageBreak/>
        <w:t xml:space="preserve">contributes to gender equality. To achieve this, the internal mechanisms of an institution will have to be adjusted within a process of organisational development. This means there is an internal dimension of gender mainstreaming (organisational and personnel development) as well an external dimension (service provision). Gender mainstreaming in the institution eases replication at the Project level, administration, activities, </w:t>
      </w:r>
      <w:proofErr w:type="gramStart"/>
      <w:r w:rsidRPr="00D42862">
        <w:rPr>
          <w:rFonts w:cs="Arial"/>
          <w:color w:val="000000" w:themeColor="text1"/>
          <w:szCs w:val="18"/>
          <w:shd w:val="clear" w:color="auto" w:fill="FFFFFF"/>
        </w:rPr>
        <w:t>outputs</w:t>
      </w:r>
      <w:proofErr w:type="gramEnd"/>
      <w:r w:rsidRPr="00D42862">
        <w:rPr>
          <w:rFonts w:cs="Arial"/>
          <w:color w:val="000000" w:themeColor="text1"/>
          <w:szCs w:val="18"/>
          <w:shd w:val="clear" w:color="auto" w:fill="FFFFFF"/>
        </w:rPr>
        <w:t xml:space="preserve"> and outcomes shall basically of promote interests of both men and women within the community. This shall promote gendered partnerships and service provision within </w:t>
      </w:r>
      <w:r w:rsidRPr="00D42862">
        <w:rPr>
          <w:rFonts w:cs="Arial"/>
          <w:szCs w:val="18"/>
        </w:rPr>
        <w:t>ISDAP</w:t>
      </w:r>
      <w:r w:rsidRPr="00D42862">
        <w:rPr>
          <w:rFonts w:cs="Arial"/>
          <w:szCs w:val="18"/>
          <w:shd w:val="clear" w:color="auto" w:fill="FFFFFF"/>
        </w:rPr>
        <w:t xml:space="preserve"> </w:t>
      </w:r>
      <w:r w:rsidRPr="00D42862">
        <w:rPr>
          <w:rFonts w:cs="Arial"/>
          <w:color w:val="000000" w:themeColor="text1"/>
          <w:szCs w:val="18"/>
          <w:shd w:val="clear" w:color="auto" w:fill="FFFFFF"/>
        </w:rPr>
        <w:t xml:space="preserve">and the targeted beneficiaries (farmers and cooperatives). It is for this cause that SNV/ Agriterra engages a gender specialist to bring a new experience to </w:t>
      </w:r>
      <w:r w:rsidRPr="00D42862">
        <w:rPr>
          <w:rFonts w:cs="Arial"/>
          <w:szCs w:val="18"/>
        </w:rPr>
        <w:t>ISDAP</w:t>
      </w:r>
      <w:r w:rsidRPr="00D42862">
        <w:rPr>
          <w:rFonts w:cs="Arial"/>
          <w:color w:val="FF0000"/>
          <w:szCs w:val="18"/>
        </w:rPr>
        <w:t>.</w:t>
      </w:r>
    </w:p>
    <w:p w14:paraId="6B0A87F7" w14:textId="77777777" w:rsidR="00533A50" w:rsidRPr="00D42862" w:rsidRDefault="00533A50" w:rsidP="00BA3435">
      <w:pPr>
        <w:jc w:val="both"/>
        <w:rPr>
          <w:szCs w:val="18"/>
        </w:rPr>
      </w:pPr>
    </w:p>
    <w:p w14:paraId="0E0EEE31" w14:textId="1950F0A9" w:rsidR="00533A50" w:rsidRDefault="00EF0415" w:rsidP="00BA3435">
      <w:pPr>
        <w:pStyle w:val="NormalWeb"/>
        <w:spacing w:before="0" w:beforeAutospacing="0" w:after="0" w:afterAutospacing="0"/>
        <w:jc w:val="both"/>
        <w:rPr>
          <w:b/>
          <w:bCs/>
          <w:color w:val="00B0F0"/>
          <w:sz w:val="22"/>
          <w:szCs w:val="22"/>
          <w:lang w:val="en-GB"/>
        </w:rPr>
      </w:pPr>
      <w:r w:rsidRPr="00BA3435">
        <w:rPr>
          <w:b/>
          <w:bCs/>
          <w:color w:val="00B0F0"/>
          <w:sz w:val="22"/>
          <w:szCs w:val="22"/>
          <w:lang w:val="en-GB"/>
        </w:rPr>
        <w:t xml:space="preserve">3.1 </w:t>
      </w:r>
      <w:r w:rsidR="00533A50" w:rsidRPr="00BA3435">
        <w:rPr>
          <w:b/>
          <w:bCs/>
          <w:color w:val="00B0F0"/>
          <w:sz w:val="22"/>
          <w:szCs w:val="22"/>
          <w:lang w:val="en-GB"/>
        </w:rPr>
        <w:t xml:space="preserve">Specific objectives of the </w:t>
      </w:r>
      <w:r w:rsidR="00A718DE" w:rsidRPr="00BA3435">
        <w:rPr>
          <w:b/>
          <w:bCs/>
          <w:color w:val="00B0F0"/>
          <w:sz w:val="22"/>
          <w:szCs w:val="22"/>
          <w:lang w:val="en-GB"/>
        </w:rPr>
        <w:t xml:space="preserve">GESI </w:t>
      </w:r>
      <w:r w:rsidR="00533A50" w:rsidRPr="00BA3435">
        <w:rPr>
          <w:b/>
          <w:bCs/>
          <w:color w:val="00B0F0"/>
          <w:sz w:val="22"/>
          <w:szCs w:val="22"/>
          <w:lang w:val="en-GB"/>
        </w:rPr>
        <w:t>assessment</w:t>
      </w:r>
      <w:r w:rsidR="00BA3435">
        <w:rPr>
          <w:b/>
          <w:bCs/>
          <w:color w:val="00B0F0"/>
          <w:sz w:val="22"/>
          <w:szCs w:val="22"/>
          <w:lang w:val="en-GB"/>
        </w:rPr>
        <w:t>.</w:t>
      </w:r>
    </w:p>
    <w:p w14:paraId="512D3F69" w14:textId="77777777" w:rsidR="00BA3435" w:rsidRPr="00BA3435" w:rsidRDefault="00BA3435" w:rsidP="00BA3435">
      <w:pPr>
        <w:pStyle w:val="NormalWeb"/>
        <w:spacing w:before="0" w:beforeAutospacing="0" w:after="0" w:afterAutospacing="0"/>
        <w:jc w:val="both"/>
        <w:rPr>
          <w:b/>
          <w:bCs/>
          <w:color w:val="00B0F0"/>
          <w:sz w:val="22"/>
          <w:szCs w:val="22"/>
          <w:lang w:val="en-GB"/>
        </w:rPr>
      </w:pPr>
    </w:p>
    <w:p w14:paraId="6DD49129" w14:textId="3B62888D" w:rsidR="00533A50" w:rsidRPr="00D42862" w:rsidRDefault="00533A50" w:rsidP="00BA3435">
      <w:pPr>
        <w:pStyle w:val="NormalWeb"/>
        <w:spacing w:before="0" w:beforeAutospacing="0" w:after="0" w:afterAutospacing="0"/>
        <w:jc w:val="both"/>
        <w:rPr>
          <w:color w:val="000000"/>
          <w:szCs w:val="18"/>
        </w:rPr>
      </w:pPr>
      <w:r w:rsidRPr="00D42862">
        <w:rPr>
          <w:color w:val="000000"/>
          <w:szCs w:val="18"/>
        </w:rPr>
        <w:t xml:space="preserve">The specific objectives of the </w:t>
      </w:r>
      <w:r w:rsidR="00A718DE" w:rsidRPr="00D42862">
        <w:rPr>
          <w:color w:val="000000"/>
          <w:szCs w:val="18"/>
        </w:rPr>
        <w:t>GESI assignment</w:t>
      </w:r>
      <w:r w:rsidRPr="00D42862">
        <w:rPr>
          <w:color w:val="000000"/>
          <w:szCs w:val="18"/>
        </w:rPr>
        <w:t xml:space="preserve"> are the following but not exclusively limited to the listing:</w:t>
      </w:r>
    </w:p>
    <w:p w14:paraId="001EC0A9" w14:textId="77777777" w:rsidR="00A718DE" w:rsidRPr="00D42862" w:rsidRDefault="00A718DE" w:rsidP="00BA3435">
      <w:pPr>
        <w:pStyle w:val="NormalWeb"/>
        <w:spacing w:before="0" w:beforeAutospacing="0" w:after="0" w:afterAutospacing="0"/>
        <w:jc w:val="both"/>
        <w:rPr>
          <w:color w:val="000000"/>
          <w:szCs w:val="18"/>
        </w:rPr>
      </w:pPr>
    </w:p>
    <w:p w14:paraId="369A84DD" w14:textId="3BF3B7C6" w:rsidR="00A718DE" w:rsidRPr="00D42862" w:rsidRDefault="00A718DE" w:rsidP="00A6428D">
      <w:pPr>
        <w:pStyle w:val="ListParagraph"/>
        <w:numPr>
          <w:ilvl w:val="0"/>
          <w:numId w:val="2"/>
        </w:numPr>
        <w:spacing w:after="160"/>
        <w:jc w:val="both"/>
        <w:rPr>
          <w:rFonts w:cs="Arial"/>
          <w:szCs w:val="18"/>
        </w:rPr>
      </w:pPr>
      <w:r w:rsidRPr="00D42862">
        <w:rPr>
          <w:rFonts w:cs="Arial"/>
          <w:szCs w:val="18"/>
        </w:rPr>
        <w:t xml:space="preserve">To benchmark from SNV global on the best practices and assist project MEL team to integrate monitoring of GESI strategy indicators through quarterly checks and tools and templates for regular reporting, </w:t>
      </w:r>
      <w:r w:rsidR="007C0636" w:rsidRPr="00D42862">
        <w:rPr>
          <w:rFonts w:cs="Arial"/>
          <w:szCs w:val="18"/>
        </w:rPr>
        <w:t>reflection,</w:t>
      </w:r>
      <w:r w:rsidRPr="00D42862">
        <w:rPr>
          <w:rFonts w:cs="Arial"/>
          <w:szCs w:val="18"/>
        </w:rPr>
        <w:t xml:space="preserve"> and outcome harvesting.</w:t>
      </w:r>
    </w:p>
    <w:p w14:paraId="60E7DF76" w14:textId="1E6114C1" w:rsidR="00A718DE" w:rsidRPr="00D42862" w:rsidRDefault="00A718DE" w:rsidP="00A6428D">
      <w:pPr>
        <w:pStyle w:val="ListParagraph"/>
        <w:numPr>
          <w:ilvl w:val="0"/>
          <w:numId w:val="2"/>
        </w:numPr>
        <w:spacing w:after="160"/>
        <w:jc w:val="both"/>
        <w:rPr>
          <w:rFonts w:cs="Arial"/>
          <w:szCs w:val="18"/>
        </w:rPr>
      </w:pPr>
      <w:r w:rsidRPr="00D42862">
        <w:rPr>
          <w:rFonts w:cs="Arial"/>
          <w:szCs w:val="18"/>
        </w:rPr>
        <w:t>To create ISDAP staff awareness on gender and social inclusiveness.</w:t>
      </w:r>
    </w:p>
    <w:p w14:paraId="24A4AA7B" w14:textId="77777777" w:rsidR="00A718DE" w:rsidRPr="00D42862" w:rsidRDefault="00A718DE" w:rsidP="00A6428D">
      <w:pPr>
        <w:pStyle w:val="ListParagraph"/>
        <w:numPr>
          <w:ilvl w:val="0"/>
          <w:numId w:val="2"/>
        </w:numPr>
        <w:spacing w:after="160"/>
        <w:jc w:val="both"/>
        <w:rPr>
          <w:rFonts w:cs="Arial"/>
          <w:szCs w:val="18"/>
        </w:rPr>
      </w:pPr>
      <w:r w:rsidRPr="00D42862">
        <w:rPr>
          <w:rFonts w:cs="Arial"/>
          <w:szCs w:val="18"/>
        </w:rPr>
        <w:t>To conduct an assessment to identify the gender gaps for development of a gender Policy at ISDAP</w:t>
      </w:r>
    </w:p>
    <w:p w14:paraId="5C2CE5F5" w14:textId="6CFC340A" w:rsidR="00A718DE" w:rsidRDefault="00A718DE" w:rsidP="00A6428D">
      <w:pPr>
        <w:pStyle w:val="ListParagraph"/>
        <w:numPr>
          <w:ilvl w:val="0"/>
          <w:numId w:val="2"/>
        </w:numPr>
        <w:spacing w:after="160"/>
        <w:jc w:val="both"/>
        <w:rPr>
          <w:rFonts w:cs="Arial"/>
          <w:szCs w:val="18"/>
        </w:rPr>
      </w:pPr>
      <w:r w:rsidRPr="00D42862">
        <w:rPr>
          <w:rFonts w:cs="Arial"/>
          <w:szCs w:val="18"/>
        </w:rPr>
        <w:t>To develop as gender strategy for ISDAP</w:t>
      </w:r>
    </w:p>
    <w:p w14:paraId="4C446E0B" w14:textId="153D5540" w:rsidR="00BA3435" w:rsidRPr="008A7669" w:rsidRDefault="00A718DE" w:rsidP="00A6428D">
      <w:pPr>
        <w:pStyle w:val="ListParagraph"/>
        <w:numPr>
          <w:ilvl w:val="0"/>
          <w:numId w:val="2"/>
        </w:numPr>
        <w:spacing w:after="160"/>
        <w:jc w:val="both"/>
        <w:rPr>
          <w:rFonts w:cs="Arial"/>
          <w:szCs w:val="18"/>
        </w:rPr>
      </w:pPr>
      <w:r w:rsidRPr="008A7669">
        <w:rPr>
          <w:rFonts w:cs="Arial"/>
          <w:szCs w:val="18"/>
        </w:rPr>
        <w:t>To develop a gender awareness training programme for cooperative leadership and m</w:t>
      </w:r>
      <w:r w:rsidR="008A7669" w:rsidRPr="008A7669">
        <w:rPr>
          <w:rFonts w:cs="Arial"/>
          <w:szCs w:val="18"/>
        </w:rPr>
        <w:t>anagement</w:t>
      </w:r>
    </w:p>
    <w:p w14:paraId="10049B5D" w14:textId="77777777" w:rsidR="00BA3435" w:rsidRPr="00BA3435" w:rsidRDefault="00BA3435" w:rsidP="00BA3435">
      <w:pPr>
        <w:spacing w:after="160"/>
        <w:jc w:val="both"/>
        <w:rPr>
          <w:b/>
          <w:bCs/>
          <w:color w:val="00B0F0"/>
          <w:szCs w:val="18"/>
        </w:rPr>
      </w:pPr>
    </w:p>
    <w:p w14:paraId="0D3DCD0A" w14:textId="783E7B14" w:rsidR="00EF0415" w:rsidRPr="008A7669" w:rsidRDefault="00EF0415" w:rsidP="00BA3435">
      <w:pPr>
        <w:spacing w:after="160"/>
        <w:jc w:val="both"/>
        <w:rPr>
          <w:b/>
          <w:bCs/>
          <w:color w:val="00B0F0"/>
          <w:sz w:val="22"/>
          <w:szCs w:val="22"/>
        </w:rPr>
      </w:pPr>
      <w:r w:rsidRPr="008A7669">
        <w:rPr>
          <w:b/>
          <w:bCs/>
          <w:color w:val="00B0F0"/>
          <w:sz w:val="22"/>
          <w:szCs w:val="22"/>
        </w:rPr>
        <w:t xml:space="preserve">3.2 Rationale for the </w:t>
      </w:r>
      <w:r w:rsidR="0070785E" w:rsidRPr="008A7669">
        <w:rPr>
          <w:b/>
          <w:bCs/>
          <w:color w:val="00B0F0"/>
          <w:sz w:val="22"/>
          <w:szCs w:val="22"/>
        </w:rPr>
        <w:t>GESI Assignment.</w:t>
      </w:r>
    </w:p>
    <w:p w14:paraId="700FF705" w14:textId="2F8470E8" w:rsidR="0070785E" w:rsidRPr="00D42862" w:rsidRDefault="0070785E" w:rsidP="00BA3435">
      <w:pPr>
        <w:pStyle w:val="NormalWeb"/>
        <w:spacing w:before="0" w:beforeAutospacing="0" w:after="0" w:afterAutospacing="0"/>
        <w:jc w:val="both"/>
        <w:rPr>
          <w:color w:val="000000"/>
          <w:szCs w:val="18"/>
          <w:lang w:val="en-GB"/>
        </w:rPr>
      </w:pPr>
    </w:p>
    <w:p w14:paraId="538F3435" w14:textId="1C4B99D3" w:rsidR="003100BF" w:rsidRPr="00D42862" w:rsidRDefault="0070785E" w:rsidP="003100BF">
      <w:pPr>
        <w:pStyle w:val="NormalWeb"/>
        <w:spacing w:before="0" w:beforeAutospacing="0" w:after="0" w:afterAutospacing="0"/>
        <w:jc w:val="both"/>
        <w:rPr>
          <w:color w:val="000000"/>
          <w:szCs w:val="18"/>
          <w:lang w:val="en-GB"/>
        </w:rPr>
      </w:pPr>
      <w:r w:rsidRPr="00D42862">
        <w:rPr>
          <w:rFonts w:cs="Arial"/>
          <w:szCs w:val="18"/>
        </w:rPr>
        <w:t xml:space="preserve">ISDAP seeks to promote social inclusion, </w:t>
      </w:r>
      <w:proofErr w:type="gramStart"/>
      <w:r w:rsidRPr="00D42862">
        <w:rPr>
          <w:rFonts w:cs="Arial"/>
          <w:szCs w:val="18"/>
        </w:rPr>
        <w:t>gender</w:t>
      </w:r>
      <w:proofErr w:type="gramEnd"/>
      <w:r w:rsidRPr="00D42862">
        <w:rPr>
          <w:rFonts w:cs="Arial"/>
          <w:szCs w:val="18"/>
        </w:rPr>
        <w:t xml:space="preserve"> and youths’ participation in the dairy industry within the project coverage area. The project needs to have a strategy through which the participation of youth and women is encouraged for equitable development. The project is engaging the cooperatives to encourage females in the cooperative membership and leadership where 95% of the cooperatives should have female representation on their board committees. However, it is evident that gender awareness</w:t>
      </w:r>
      <w:r w:rsidR="003100BF">
        <w:rPr>
          <w:rFonts w:cs="Arial"/>
          <w:szCs w:val="18"/>
        </w:rPr>
        <w:t xml:space="preserve"> and mainstreaming</w:t>
      </w:r>
      <w:r w:rsidRPr="00D42862">
        <w:rPr>
          <w:rFonts w:cs="Arial"/>
          <w:szCs w:val="18"/>
        </w:rPr>
        <w:t xml:space="preserve"> is broader than just having female representatives and as a project approach, the gender awareness trainings shall be conducted with interest to improve youth and female participation in the cooperative activities thus the assignment seeks to equip ISDAP staff with knowledge and skills to promote gender mainstreaming in various units </w:t>
      </w:r>
      <w:r w:rsidR="003100BF">
        <w:rPr>
          <w:rFonts w:cs="Arial"/>
          <w:szCs w:val="18"/>
        </w:rPr>
        <w:t xml:space="preserve">for </w:t>
      </w:r>
      <w:r w:rsidR="003100BF" w:rsidRPr="00D42862">
        <w:rPr>
          <w:color w:val="000000"/>
          <w:szCs w:val="18"/>
          <w:lang w:val="en-GB"/>
        </w:rPr>
        <w:t xml:space="preserve">integration in relation to “integrated small holder dairy project”. </w:t>
      </w:r>
    </w:p>
    <w:p w14:paraId="2E44FD90" w14:textId="37D2B038" w:rsidR="0070785E" w:rsidRPr="00D42862" w:rsidRDefault="0070785E" w:rsidP="00BA3435">
      <w:pPr>
        <w:jc w:val="both"/>
        <w:rPr>
          <w:rFonts w:cs="Arial"/>
          <w:szCs w:val="18"/>
        </w:rPr>
      </w:pPr>
    </w:p>
    <w:p w14:paraId="04AA5456" w14:textId="143E0CC4" w:rsidR="00EF0415" w:rsidRPr="00D42862" w:rsidRDefault="00EF0415" w:rsidP="00BA3435">
      <w:pPr>
        <w:pStyle w:val="NormalWeb"/>
        <w:spacing w:before="0" w:beforeAutospacing="0" w:after="0" w:afterAutospacing="0"/>
        <w:jc w:val="both"/>
        <w:rPr>
          <w:color w:val="000000"/>
          <w:szCs w:val="18"/>
          <w:lang w:val="en-GB"/>
        </w:rPr>
      </w:pPr>
    </w:p>
    <w:p w14:paraId="585647E5" w14:textId="77777777" w:rsidR="00EF0415" w:rsidRPr="00D42862" w:rsidRDefault="00EF0415" w:rsidP="00BA3435">
      <w:pPr>
        <w:pStyle w:val="NormalWeb"/>
        <w:spacing w:before="0" w:beforeAutospacing="0" w:after="0" w:afterAutospacing="0"/>
        <w:jc w:val="both"/>
        <w:rPr>
          <w:color w:val="000000"/>
          <w:szCs w:val="18"/>
        </w:rPr>
      </w:pPr>
    </w:p>
    <w:p w14:paraId="46F127A9" w14:textId="69304D4E" w:rsidR="00533A50" w:rsidRPr="008A7669" w:rsidRDefault="00EF0415" w:rsidP="00BA3435">
      <w:pPr>
        <w:jc w:val="both"/>
        <w:rPr>
          <w:b/>
          <w:bCs/>
          <w:color w:val="00B0F0"/>
          <w:sz w:val="22"/>
          <w:szCs w:val="22"/>
        </w:rPr>
      </w:pPr>
      <w:r w:rsidRPr="008A7669">
        <w:rPr>
          <w:b/>
          <w:bCs/>
          <w:color w:val="00B0F0"/>
          <w:sz w:val="22"/>
          <w:szCs w:val="22"/>
        </w:rPr>
        <w:t xml:space="preserve">3.3 </w:t>
      </w:r>
      <w:r w:rsidR="00533A50" w:rsidRPr="008A7669">
        <w:rPr>
          <w:b/>
          <w:bCs/>
          <w:color w:val="00B0F0"/>
          <w:sz w:val="22"/>
          <w:szCs w:val="22"/>
        </w:rPr>
        <w:t xml:space="preserve">Scope of the </w:t>
      </w:r>
      <w:r w:rsidR="00425711">
        <w:rPr>
          <w:b/>
          <w:bCs/>
          <w:color w:val="00B0F0"/>
          <w:sz w:val="22"/>
          <w:szCs w:val="22"/>
        </w:rPr>
        <w:t>assignment</w:t>
      </w:r>
      <w:r w:rsidR="00533A50" w:rsidRPr="008A7669">
        <w:rPr>
          <w:b/>
          <w:bCs/>
          <w:color w:val="00B0F0"/>
          <w:sz w:val="22"/>
          <w:szCs w:val="22"/>
        </w:rPr>
        <w:t xml:space="preserve"> </w:t>
      </w:r>
    </w:p>
    <w:p w14:paraId="0B9BF9DD" w14:textId="607272D4" w:rsidR="00F865D9" w:rsidRPr="00D42862" w:rsidRDefault="00F865D9" w:rsidP="00BA3435">
      <w:pPr>
        <w:jc w:val="both"/>
        <w:rPr>
          <w:rFonts w:cs="Arial"/>
          <w:szCs w:val="18"/>
        </w:rPr>
      </w:pPr>
      <w:r w:rsidRPr="00D42862">
        <w:rPr>
          <w:rFonts w:cs="Arial"/>
          <w:szCs w:val="18"/>
        </w:rPr>
        <w:t xml:space="preserve">The engagements </w:t>
      </w:r>
      <w:r w:rsidR="003100BF">
        <w:rPr>
          <w:rFonts w:cs="Arial"/>
          <w:szCs w:val="18"/>
        </w:rPr>
        <w:t xml:space="preserve">for gender assessment, </w:t>
      </w:r>
      <w:r w:rsidRPr="00D42862">
        <w:rPr>
          <w:rFonts w:cs="Arial"/>
          <w:szCs w:val="18"/>
        </w:rPr>
        <w:t xml:space="preserve">policy development and strategy formulation will be done with </w:t>
      </w:r>
      <w:r w:rsidR="008A7669">
        <w:rPr>
          <w:rFonts w:cs="Arial"/>
          <w:szCs w:val="18"/>
        </w:rPr>
        <w:t xml:space="preserve">ISDAP </w:t>
      </w:r>
      <w:r w:rsidRPr="00D42862">
        <w:rPr>
          <w:rFonts w:cs="Arial"/>
          <w:szCs w:val="18"/>
        </w:rPr>
        <w:t>staff</w:t>
      </w:r>
      <w:r w:rsidR="008A7669">
        <w:rPr>
          <w:rFonts w:cs="Arial"/>
          <w:szCs w:val="18"/>
        </w:rPr>
        <w:t xml:space="preserve"> </w:t>
      </w:r>
      <w:r w:rsidR="003100BF">
        <w:rPr>
          <w:rFonts w:cs="Arial"/>
          <w:szCs w:val="18"/>
        </w:rPr>
        <w:t>and management with</w:t>
      </w:r>
      <w:r w:rsidR="008A7669">
        <w:rPr>
          <w:rFonts w:cs="Arial"/>
          <w:szCs w:val="18"/>
        </w:rPr>
        <w:t xml:space="preserve"> consultations from some TIDE staff. L</w:t>
      </w:r>
      <w:r w:rsidRPr="00D42862">
        <w:rPr>
          <w:rFonts w:cs="Arial"/>
          <w:szCs w:val="18"/>
        </w:rPr>
        <w:t xml:space="preserve">essons and best practices shall be collected </w:t>
      </w:r>
      <w:r w:rsidR="003100BF">
        <w:rPr>
          <w:rFonts w:cs="Arial"/>
          <w:szCs w:val="18"/>
        </w:rPr>
        <w:t>by</w:t>
      </w:r>
      <w:r w:rsidRPr="00D42862">
        <w:rPr>
          <w:rFonts w:cs="Arial"/>
          <w:szCs w:val="18"/>
        </w:rPr>
        <w:t xml:space="preserve"> ISDAP staff while trainings programme will be developed </w:t>
      </w:r>
      <w:r w:rsidR="008A7669">
        <w:rPr>
          <w:rFonts w:cs="Arial"/>
          <w:szCs w:val="18"/>
        </w:rPr>
        <w:t>and</w:t>
      </w:r>
      <w:r w:rsidRPr="00D42862">
        <w:rPr>
          <w:rFonts w:cs="Arial"/>
          <w:szCs w:val="18"/>
        </w:rPr>
        <w:t xml:space="preserve"> TOTs trained. </w:t>
      </w:r>
    </w:p>
    <w:p w14:paraId="79CD58AA" w14:textId="77777777" w:rsidR="00F865D9" w:rsidRPr="00D42862" w:rsidRDefault="00F865D9" w:rsidP="00BA3435">
      <w:pPr>
        <w:jc w:val="both"/>
        <w:rPr>
          <w:rFonts w:cs="Arial"/>
          <w:b/>
          <w:bCs/>
          <w:szCs w:val="18"/>
        </w:rPr>
      </w:pPr>
    </w:p>
    <w:p w14:paraId="045BB4DF" w14:textId="77777777" w:rsidR="00533A50" w:rsidRPr="00D42862" w:rsidRDefault="00533A50" w:rsidP="00BA3435">
      <w:pPr>
        <w:jc w:val="both"/>
        <w:rPr>
          <w:szCs w:val="18"/>
        </w:rPr>
      </w:pPr>
    </w:p>
    <w:p w14:paraId="4D368722" w14:textId="623AB1F6" w:rsidR="00533A50" w:rsidRPr="00D42862" w:rsidRDefault="00EF0415" w:rsidP="00BA3435">
      <w:pPr>
        <w:pStyle w:val="NormalWeb"/>
        <w:spacing w:before="0" w:beforeAutospacing="0" w:after="0" w:afterAutospacing="0"/>
        <w:jc w:val="both"/>
        <w:rPr>
          <w:b/>
          <w:bCs/>
          <w:color w:val="00B0F0"/>
          <w:szCs w:val="18"/>
        </w:rPr>
      </w:pPr>
      <w:r w:rsidRPr="008A7669">
        <w:rPr>
          <w:b/>
          <w:bCs/>
          <w:color w:val="00B0F0"/>
          <w:sz w:val="22"/>
          <w:szCs w:val="22"/>
        </w:rPr>
        <w:t xml:space="preserve">4.0 </w:t>
      </w:r>
      <w:r w:rsidR="00533A50" w:rsidRPr="008A7669">
        <w:rPr>
          <w:b/>
          <w:bCs/>
          <w:color w:val="00B0F0"/>
          <w:sz w:val="22"/>
          <w:szCs w:val="22"/>
        </w:rPr>
        <w:t>Approaches and Methodologies</w:t>
      </w:r>
      <w:r w:rsidR="00F865D9" w:rsidRPr="00D42862">
        <w:rPr>
          <w:b/>
          <w:bCs/>
          <w:color w:val="00B0F0"/>
          <w:szCs w:val="18"/>
        </w:rPr>
        <w:t>.</w:t>
      </w:r>
    </w:p>
    <w:p w14:paraId="00CA0C87" w14:textId="527CBCBB" w:rsidR="00F865D9" w:rsidRPr="00D42862" w:rsidRDefault="00F865D9" w:rsidP="00BA3435">
      <w:pPr>
        <w:pStyle w:val="NormalWeb"/>
        <w:spacing w:before="0" w:beforeAutospacing="0" w:after="0" w:afterAutospacing="0"/>
        <w:jc w:val="both"/>
        <w:rPr>
          <w:b/>
          <w:bCs/>
          <w:color w:val="00B0F0"/>
          <w:szCs w:val="18"/>
        </w:rPr>
      </w:pPr>
    </w:p>
    <w:p w14:paraId="29EFF00F" w14:textId="74D938BA" w:rsidR="00F865D9" w:rsidRPr="00D42862" w:rsidRDefault="00F865D9" w:rsidP="00BA3435">
      <w:pPr>
        <w:pStyle w:val="NormalWeb"/>
        <w:spacing w:before="0" w:beforeAutospacing="0" w:after="0" w:afterAutospacing="0"/>
        <w:jc w:val="both"/>
        <w:rPr>
          <w:szCs w:val="18"/>
          <w:lang w:val="en-GB"/>
        </w:rPr>
      </w:pPr>
    </w:p>
    <w:p w14:paraId="4C622A23" w14:textId="52717B81" w:rsidR="00F865D9" w:rsidRDefault="00F865D9" w:rsidP="00BA3435">
      <w:pPr>
        <w:pStyle w:val="NormalWeb"/>
        <w:spacing w:before="0" w:beforeAutospacing="0" w:after="0" w:afterAutospacing="0"/>
        <w:jc w:val="both"/>
        <w:rPr>
          <w:szCs w:val="18"/>
        </w:rPr>
      </w:pPr>
      <w:r w:rsidRPr="00D42862">
        <w:rPr>
          <w:szCs w:val="18"/>
          <w:lang w:val="en-GB"/>
        </w:rPr>
        <w:t>The assignment will include gender assessment</w:t>
      </w:r>
      <w:r w:rsidR="006562B6">
        <w:rPr>
          <w:szCs w:val="18"/>
          <w:lang w:val="en-GB"/>
        </w:rPr>
        <w:t xml:space="preserve"> to identify the gender gaps in areas like the organisational culture, </w:t>
      </w:r>
      <w:r w:rsidR="007C0636">
        <w:rPr>
          <w:szCs w:val="18"/>
          <w:lang w:val="en-GB"/>
        </w:rPr>
        <w:t>technical</w:t>
      </w:r>
      <w:r w:rsidR="006562B6">
        <w:rPr>
          <w:szCs w:val="18"/>
          <w:lang w:val="en-GB"/>
        </w:rPr>
        <w:t xml:space="preserve"> capacity, political will, gender integration framework and accountability. The information collected from the assessments</w:t>
      </w:r>
      <w:r w:rsidR="006562B6" w:rsidRPr="00D42862">
        <w:rPr>
          <w:szCs w:val="18"/>
        </w:rPr>
        <w:t xml:space="preserve"> should support </w:t>
      </w:r>
      <w:r w:rsidR="00425711" w:rsidRPr="00D42862">
        <w:rPr>
          <w:szCs w:val="18"/>
        </w:rPr>
        <w:t>examination</w:t>
      </w:r>
      <w:r w:rsidR="006562B6" w:rsidRPr="00D42862">
        <w:rPr>
          <w:szCs w:val="18"/>
        </w:rPr>
        <w:t xml:space="preserve"> of all relevant indicators and cross cutting issues as defined in the project </w:t>
      </w:r>
      <w:r w:rsidR="006562B6" w:rsidRPr="00D42862">
        <w:rPr>
          <w:szCs w:val="18"/>
          <w:lang w:val="en-GB"/>
        </w:rPr>
        <w:t xml:space="preserve">results framework </w:t>
      </w:r>
      <w:r w:rsidR="006562B6" w:rsidRPr="00D42862">
        <w:rPr>
          <w:szCs w:val="18"/>
        </w:rPr>
        <w:t xml:space="preserve">and </w:t>
      </w:r>
      <w:r w:rsidR="006562B6" w:rsidRPr="00D42862">
        <w:rPr>
          <w:szCs w:val="18"/>
          <w:lang w:val="en-GB"/>
        </w:rPr>
        <w:t xml:space="preserve">or </w:t>
      </w:r>
      <w:r w:rsidR="006562B6" w:rsidRPr="00D42862">
        <w:rPr>
          <w:szCs w:val="18"/>
        </w:rPr>
        <w:t>indicated in project documents</w:t>
      </w:r>
      <w:r w:rsidR="00425711">
        <w:rPr>
          <w:szCs w:val="18"/>
        </w:rPr>
        <w:t>.</w:t>
      </w:r>
    </w:p>
    <w:p w14:paraId="00703ADF" w14:textId="6C8F3C19" w:rsidR="00425711" w:rsidRDefault="00425711" w:rsidP="00BA3435">
      <w:pPr>
        <w:pStyle w:val="NormalWeb"/>
        <w:spacing w:before="0" w:beforeAutospacing="0" w:after="0" w:afterAutospacing="0"/>
        <w:jc w:val="both"/>
        <w:rPr>
          <w:szCs w:val="18"/>
        </w:rPr>
      </w:pPr>
    </w:p>
    <w:p w14:paraId="7ED4C557" w14:textId="77777777" w:rsidR="00425711" w:rsidRDefault="00425711" w:rsidP="00BA3435">
      <w:pPr>
        <w:pStyle w:val="NormalWeb"/>
        <w:spacing w:before="0" w:beforeAutospacing="0" w:after="0" w:afterAutospacing="0"/>
        <w:jc w:val="both"/>
        <w:rPr>
          <w:szCs w:val="18"/>
        </w:rPr>
      </w:pPr>
      <w:r>
        <w:rPr>
          <w:szCs w:val="18"/>
        </w:rPr>
        <w:t xml:space="preserve">Review of the necessary documents shall also be done to support the development of the policy. Review of the products of ISADP shall also be done to incorporate the gender specific products </w:t>
      </w:r>
      <w:proofErr w:type="gramStart"/>
      <w:r>
        <w:rPr>
          <w:szCs w:val="18"/>
        </w:rPr>
        <w:t>and also</w:t>
      </w:r>
      <w:proofErr w:type="gramEnd"/>
      <w:r>
        <w:rPr>
          <w:szCs w:val="18"/>
        </w:rPr>
        <w:t xml:space="preserve"> incentivize some products for up take by youth and women. </w:t>
      </w:r>
    </w:p>
    <w:p w14:paraId="600786C0" w14:textId="43A396B0" w:rsidR="00EF0415" w:rsidRPr="00425711" w:rsidRDefault="00425711" w:rsidP="00BA3435">
      <w:pPr>
        <w:pStyle w:val="NormalWeb"/>
        <w:spacing w:before="0" w:beforeAutospacing="0" w:after="0" w:afterAutospacing="0"/>
        <w:jc w:val="both"/>
        <w:rPr>
          <w:szCs w:val="18"/>
        </w:rPr>
      </w:pPr>
      <w:r>
        <w:rPr>
          <w:szCs w:val="18"/>
        </w:rPr>
        <w:t xml:space="preserve">Engagement of the MEL office to </w:t>
      </w:r>
      <w:r w:rsidRPr="00D42862">
        <w:rPr>
          <w:szCs w:val="18"/>
        </w:rPr>
        <w:t xml:space="preserve">also include </w:t>
      </w:r>
      <w:r>
        <w:rPr>
          <w:szCs w:val="18"/>
        </w:rPr>
        <w:t xml:space="preserve">integration of </w:t>
      </w:r>
      <w:r w:rsidRPr="00D42862">
        <w:rPr>
          <w:szCs w:val="18"/>
          <w:lang w:val="en-GB"/>
        </w:rPr>
        <w:t>disaggregation</w:t>
      </w:r>
      <w:r w:rsidRPr="00D42862">
        <w:rPr>
          <w:szCs w:val="18"/>
        </w:rPr>
        <w:t xml:space="preserve"> of beneficiaries by gender</w:t>
      </w:r>
      <w:r w:rsidRPr="00D42862">
        <w:rPr>
          <w:szCs w:val="18"/>
          <w:lang w:val="en-GB"/>
        </w:rPr>
        <w:t xml:space="preserve"> and age groups to determine level of youth </w:t>
      </w:r>
      <w:r>
        <w:rPr>
          <w:szCs w:val="18"/>
          <w:lang w:val="en-GB"/>
        </w:rPr>
        <w:t>and women participation during project implementation.</w:t>
      </w:r>
    </w:p>
    <w:p w14:paraId="5760C2ED" w14:textId="77777777" w:rsidR="00533A50" w:rsidRPr="00D42862" w:rsidRDefault="00533A50" w:rsidP="00BA3435">
      <w:pPr>
        <w:pStyle w:val="NormalWeb"/>
        <w:spacing w:before="0" w:beforeAutospacing="0" w:after="0" w:afterAutospacing="0"/>
        <w:jc w:val="both"/>
        <w:rPr>
          <w:szCs w:val="18"/>
          <w:lang w:val="en-GB"/>
        </w:rPr>
      </w:pPr>
    </w:p>
    <w:p w14:paraId="3622E008" w14:textId="772394EC" w:rsidR="00533A50" w:rsidRDefault="00EF0415" w:rsidP="00BA3435">
      <w:pPr>
        <w:pStyle w:val="NormalWeb"/>
        <w:spacing w:before="0" w:beforeAutospacing="0" w:after="0" w:afterAutospacing="0"/>
        <w:jc w:val="both"/>
        <w:rPr>
          <w:b/>
          <w:bCs/>
          <w:color w:val="00B0F0"/>
          <w:szCs w:val="18"/>
        </w:rPr>
      </w:pPr>
      <w:r w:rsidRPr="00D42862">
        <w:rPr>
          <w:b/>
          <w:bCs/>
          <w:color w:val="00B0F0"/>
          <w:szCs w:val="18"/>
          <w:lang w:val="en-GB"/>
        </w:rPr>
        <w:t xml:space="preserve">5.0 </w:t>
      </w:r>
      <w:r w:rsidR="00533A50" w:rsidRPr="00D42862">
        <w:rPr>
          <w:b/>
          <w:bCs/>
          <w:color w:val="00B0F0"/>
          <w:szCs w:val="18"/>
          <w:lang w:val="en-GB"/>
        </w:rPr>
        <w:t>Scope of work</w:t>
      </w:r>
      <w:r w:rsidR="00425711">
        <w:rPr>
          <w:b/>
          <w:bCs/>
          <w:color w:val="00B0F0"/>
          <w:szCs w:val="18"/>
        </w:rPr>
        <w:t>.</w:t>
      </w:r>
    </w:p>
    <w:p w14:paraId="2B152A2E" w14:textId="403934D1" w:rsidR="00425711" w:rsidRDefault="00425711" w:rsidP="00BA3435">
      <w:pPr>
        <w:pStyle w:val="NormalWeb"/>
        <w:spacing w:before="0" w:beforeAutospacing="0" w:after="0" w:afterAutospacing="0"/>
        <w:jc w:val="both"/>
        <w:rPr>
          <w:b/>
          <w:bCs/>
          <w:color w:val="00B0F0"/>
          <w:szCs w:val="18"/>
        </w:rPr>
      </w:pPr>
    </w:p>
    <w:p w14:paraId="6B5AD830" w14:textId="3B63DE39" w:rsidR="00407073" w:rsidRDefault="00425711" w:rsidP="00BA3435">
      <w:pPr>
        <w:pStyle w:val="NormalWeb"/>
        <w:spacing w:before="0" w:beforeAutospacing="0" w:after="0" w:afterAutospacing="0"/>
        <w:jc w:val="both"/>
        <w:rPr>
          <w:szCs w:val="18"/>
        </w:rPr>
      </w:pPr>
      <w:r w:rsidRPr="00425711">
        <w:rPr>
          <w:szCs w:val="18"/>
        </w:rPr>
        <w:t>Th</w:t>
      </w:r>
      <w:r>
        <w:rPr>
          <w:szCs w:val="18"/>
        </w:rPr>
        <w:t xml:space="preserve">e assignment shall be done with ISDAP staff with in the 3 </w:t>
      </w:r>
      <w:r w:rsidR="007C0636">
        <w:rPr>
          <w:szCs w:val="18"/>
        </w:rPr>
        <w:t>clusters:</w:t>
      </w:r>
      <w:r>
        <w:rPr>
          <w:szCs w:val="18"/>
        </w:rPr>
        <w:t xml:space="preserve"> north, </w:t>
      </w:r>
      <w:proofErr w:type="gramStart"/>
      <w:r>
        <w:rPr>
          <w:szCs w:val="18"/>
        </w:rPr>
        <w:t>south</w:t>
      </w:r>
      <w:proofErr w:type="gramEnd"/>
      <w:r>
        <w:rPr>
          <w:szCs w:val="18"/>
        </w:rPr>
        <w:t xml:space="preserve"> and central regions. The field officers, advisors and the team coordinator shall participate. </w:t>
      </w:r>
      <w:r w:rsidR="007C0636">
        <w:rPr>
          <w:szCs w:val="18"/>
        </w:rPr>
        <w:t>Also,</w:t>
      </w:r>
      <w:r>
        <w:rPr>
          <w:szCs w:val="18"/>
        </w:rPr>
        <w:t xml:space="preserve"> the activity lead shall participate in the assignment. </w:t>
      </w:r>
      <w:r w:rsidR="00A67D66">
        <w:rPr>
          <w:szCs w:val="18"/>
        </w:rPr>
        <w:t xml:space="preserve">Other persons </w:t>
      </w:r>
      <w:r w:rsidR="007C0636">
        <w:rPr>
          <w:szCs w:val="18"/>
        </w:rPr>
        <w:t>can from</w:t>
      </w:r>
      <w:r w:rsidR="00A67D66">
        <w:rPr>
          <w:szCs w:val="18"/>
        </w:rPr>
        <w:t xml:space="preserve"> TIDE and the Head office can be called upon when need arises.</w:t>
      </w:r>
    </w:p>
    <w:p w14:paraId="13362B4B" w14:textId="55BC65F7" w:rsidR="00A67D66" w:rsidRDefault="00A67D66" w:rsidP="00BA3435">
      <w:pPr>
        <w:pStyle w:val="NormalWeb"/>
        <w:spacing w:before="0" w:beforeAutospacing="0" w:after="0" w:afterAutospacing="0"/>
        <w:jc w:val="both"/>
        <w:rPr>
          <w:b/>
          <w:bCs/>
          <w:color w:val="00B0F0"/>
          <w:szCs w:val="18"/>
        </w:rPr>
      </w:pPr>
      <w:r>
        <w:rPr>
          <w:szCs w:val="18"/>
        </w:rPr>
        <w:t xml:space="preserve">The consultant shall be linked to the GESI lead at the SNV </w:t>
      </w:r>
      <w:r w:rsidR="007C0636">
        <w:rPr>
          <w:szCs w:val="18"/>
        </w:rPr>
        <w:t>headquarters for</w:t>
      </w:r>
      <w:r>
        <w:rPr>
          <w:szCs w:val="18"/>
        </w:rPr>
        <w:t xml:space="preserve"> support and guidance.</w:t>
      </w:r>
    </w:p>
    <w:p w14:paraId="6F570654" w14:textId="77777777" w:rsidR="00407073" w:rsidRPr="00D42862" w:rsidRDefault="00407073" w:rsidP="00BA3435">
      <w:pPr>
        <w:pStyle w:val="NormalWeb"/>
        <w:spacing w:before="0" w:beforeAutospacing="0" w:after="0" w:afterAutospacing="0"/>
        <w:jc w:val="both"/>
        <w:rPr>
          <w:b/>
          <w:bCs/>
          <w:color w:val="00B0F0"/>
          <w:szCs w:val="18"/>
        </w:rPr>
      </w:pPr>
    </w:p>
    <w:p w14:paraId="72F955E4" w14:textId="45381254" w:rsidR="00533A50" w:rsidRPr="00D42862" w:rsidRDefault="00EF0415" w:rsidP="00BA3435">
      <w:pPr>
        <w:pStyle w:val="NormalWeb"/>
        <w:spacing w:before="0" w:beforeAutospacing="0" w:after="0" w:afterAutospacing="0"/>
        <w:jc w:val="both"/>
        <w:rPr>
          <w:b/>
          <w:bCs/>
          <w:color w:val="00B0F0"/>
          <w:szCs w:val="18"/>
          <w:lang w:val="en-GB"/>
        </w:rPr>
      </w:pPr>
      <w:r w:rsidRPr="00D42862">
        <w:rPr>
          <w:b/>
          <w:bCs/>
          <w:color w:val="00B0F0"/>
          <w:szCs w:val="18"/>
          <w:lang w:val="en-GB"/>
        </w:rPr>
        <w:t xml:space="preserve">5.1 </w:t>
      </w:r>
      <w:r w:rsidR="00533A50" w:rsidRPr="00D42862">
        <w:rPr>
          <w:b/>
          <w:bCs/>
          <w:color w:val="00B0F0"/>
          <w:szCs w:val="18"/>
          <w:lang w:val="en-GB"/>
        </w:rPr>
        <w:t xml:space="preserve">Responsibilities </w:t>
      </w:r>
    </w:p>
    <w:p w14:paraId="6260F480" w14:textId="77777777" w:rsidR="00533A50" w:rsidRPr="00D42862" w:rsidRDefault="00533A50" w:rsidP="00BA3435">
      <w:pPr>
        <w:pStyle w:val="NormalWeb"/>
        <w:spacing w:before="0" w:beforeAutospacing="0" w:after="0" w:afterAutospacing="0"/>
        <w:jc w:val="both"/>
        <w:rPr>
          <w:szCs w:val="18"/>
        </w:rPr>
      </w:pPr>
      <w:r w:rsidRPr="00D42862">
        <w:rPr>
          <w:szCs w:val="18"/>
        </w:rPr>
        <w:t>The consultancy</w:t>
      </w:r>
      <w:r w:rsidRPr="00D42862">
        <w:rPr>
          <w:szCs w:val="18"/>
          <w:lang w:val="en-GB"/>
        </w:rPr>
        <w:t xml:space="preserve"> </w:t>
      </w:r>
      <w:r w:rsidRPr="00D42862">
        <w:rPr>
          <w:szCs w:val="18"/>
        </w:rPr>
        <w:t>will be primarily responsible to:</w:t>
      </w:r>
    </w:p>
    <w:p w14:paraId="40BCC1FB" w14:textId="01E27ADE" w:rsidR="00533A50" w:rsidRPr="00D42862" w:rsidRDefault="00533A50" w:rsidP="00A6428D">
      <w:pPr>
        <w:pStyle w:val="NormalWeb"/>
        <w:numPr>
          <w:ilvl w:val="0"/>
          <w:numId w:val="3"/>
        </w:numPr>
        <w:jc w:val="both"/>
        <w:rPr>
          <w:color w:val="000000"/>
          <w:szCs w:val="18"/>
          <w:lang w:val="en-GB"/>
        </w:rPr>
      </w:pPr>
      <w:r w:rsidRPr="00D42862">
        <w:rPr>
          <w:color w:val="000000"/>
          <w:szCs w:val="18"/>
          <w:lang w:val="en-GB"/>
        </w:rPr>
        <w:t xml:space="preserve">Define what </w:t>
      </w:r>
      <w:r w:rsidR="008A7669">
        <w:rPr>
          <w:color w:val="000000"/>
          <w:szCs w:val="18"/>
          <w:lang w:val="en-GB"/>
        </w:rPr>
        <w:t>GESI</w:t>
      </w:r>
      <w:r w:rsidRPr="00D42862">
        <w:rPr>
          <w:color w:val="000000"/>
          <w:szCs w:val="18"/>
          <w:lang w:val="en-GB"/>
        </w:rPr>
        <w:t xml:space="preserve"> </w:t>
      </w:r>
      <w:r w:rsidR="000E7FCD">
        <w:rPr>
          <w:color w:val="000000"/>
          <w:szCs w:val="18"/>
          <w:lang w:val="en-GB"/>
        </w:rPr>
        <w:t>in</w:t>
      </w:r>
      <w:r w:rsidRPr="00D42862">
        <w:rPr>
          <w:color w:val="000000"/>
          <w:szCs w:val="18"/>
          <w:lang w:val="en-GB"/>
        </w:rPr>
        <w:t xml:space="preserve"> smallholder dairy farming</w:t>
      </w:r>
      <w:r w:rsidR="00DB4908">
        <w:rPr>
          <w:color w:val="000000"/>
          <w:szCs w:val="18"/>
          <w:lang w:val="en-GB"/>
        </w:rPr>
        <w:t>.</w:t>
      </w:r>
    </w:p>
    <w:p w14:paraId="122E4770" w14:textId="41CDE370" w:rsidR="00533A50" w:rsidRPr="00D42862" w:rsidRDefault="00533A50" w:rsidP="00A6428D">
      <w:pPr>
        <w:pStyle w:val="NormalWeb"/>
        <w:numPr>
          <w:ilvl w:val="0"/>
          <w:numId w:val="3"/>
        </w:numPr>
        <w:spacing w:before="0" w:beforeAutospacing="0" w:after="0" w:afterAutospacing="0"/>
        <w:jc w:val="both"/>
        <w:rPr>
          <w:szCs w:val="18"/>
        </w:rPr>
      </w:pPr>
      <w:r w:rsidRPr="00D42862">
        <w:rPr>
          <w:szCs w:val="18"/>
          <w:lang w:val="en-GB"/>
        </w:rPr>
        <w:t>Have a d</w:t>
      </w:r>
      <w:r w:rsidR="007C0636" w:rsidRPr="00D42862">
        <w:rPr>
          <w:szCs w:val="18"/>
        </w:rPr>
        <w:t>debrief</w:t>
      </w:r>
      <w:r w:rsidRPr="00D42862">
        <w:rPr>
          <w:szCs w:val="18"/>
        </w:rPr>
        <w:t xml:space="preserve">/discuss with project team about </w:t>
      </w:r>
      <w:r w:rsidR="000E7FCD">
        <w:rPr>
          <w:szCs w:val="18"/>
        </w:rPr>
        <w:t>Gender Equity and Social inclusion.</w:t>
      </w:r>
    </w:p>
    <w:p w14:paraId="1477485D" w14:textId="5AD2122C" w:rsidR="00533A50" w:rsidRPr="00D42862" w:rsidRDefault="00533A50" w:rsidP="00A6428D">
      <w:pPr>
        <w:pStyle w:val="NormalWeb"/>
        <w:numPr>
          <w:ilvl w:val="0"/>
          <w:numId w:val="3"/>
        </w:numPr>
        <w:spacing w:before="0" w:beforeAutospacing="0" w:after="0" w:afterAutospacing="0"/>
        <w:jc w:val="both"/>
        <w:rPr>
          <w:szCs w:val="18"/>
        </w:rPr>
      </w:pPr>
      <w:r w:rsidRPr="00D42862">
        <w:rPr>
          <w:szCs w:val="18"/>
        </w:rPr>
        <w:t xml:space="preserve">Update progress of </w:t>
      </w:r>
      <w:r w:rsidR="000E7FCD">
        <w:rPr>
          <w:szCs w:val="18"/>
        </w:rPr>
        <w:t>the assignment</w:t>
      </w:r>
      <w:r w:rsidRPr="00D42862">
        <w:rPr>
          <w:szCs w:val="18"/>
        </w:rPr>
        <w:t xml:space="preserve"> on regular basis to </w:t>
      </w:r>
      <w:r w:rsidRPr="00D42862">
        <w:rPr>
          <w:szCs w:val="18"/>
          <w:lang w:val="en-GB"/>
        </w:rPr>
        <w:t xml:space="preserve">the TIDE </w:t>
      </w:r>
      <w:r w:rsidRPr="00D42862">
        <w:rPr>
          <w:szCs w:val="18"/>
        </w:rPr>
        <w:t xml:space="preserve">project manager. </w:t>
      </w:r>
    </w:p>
    <w:p w14:paraId="289DAF25" w14:textId="21CE5704" w:rsidR="000E7FCD" w:rsidRDefault="000E7FCD" w:rsidP="00A6428D">
      <w:pPr>
        <w:pStyle w:val="NormalWeb"/>
        <w:numPr>
          <w:ilvl w:val="0"/>
          <w:numId w:val="3"/>
        </w:numPr>
        <w:spacing w:before="0" w:beforeAutospacing="0" w:after="0" w:afterAutospacing="0"/>
        <w:jc w:val="both"/>
        <w:rPr>
          <w:szCs w:val="18"/>
        </w:rPr>
      </w:pPr>
      <w:r>
        <w:rPr>
          <w:szCs w:val="18"/>
        </w:rPr>
        <w:t xml:space="preserve">Conduct gender assessment to </w:t>
      </w:r>
      <w:r w:rsidR="00DB4908">
        <w:rPr>
          <w:szCs w:val="18"/>
        </w:rPr>
        <w:t xml:space="preserve">identify the gender gaps </w:t>
      </w:r>
      <w:r w:rsidR="007C0636">
        <w:rPr>
          <w:szCs w:val="18"/>
        </w:rPr>
        <w:t>within</w:t>
      </w:r>
      <w:r>
        <w:rPr>
          <w:szCs w:val="18"/>
        </w:rPr>
        <w:t xml:space="preserve"> the project.</w:t>
      </w:r>
    </w:p>
    <w:p w14:paraId="7CB0E2A1" w14:textId="789AC53D" w:rsidR="00DB4908" w:rsidRDefault="00DB4908" w:rsidP="00A6428D">
      <w:pPr>
        <w:pStyle w:val="NormalWeb"/>
        <w:numPr>
          <w:ilvl w:val="0"/>
          <w:numId w:val="3"/>
        </w:numPr>
        <w:spacing w:before="0" w:beforeAutospacing="0" w:after="0" w:afterAutospacing="0"/>
        <w:jc w:val="both"/>
        <w:rPr>
          <w:szCs w:val="18"/>
        </w:rPr>
      </w:pPr>
      <w:r>
        <w:rPr>
          <w:szCs w:val="18"/>
        </w:rPr>
        <w:t>Draft a gender policy for ISDAP, select feedback and review with the IDSAP team.</w:t>
      </w:r>
    </w:p>
    <w:p w14:paraId="2919ADF5" w14:textId="7B84CF1D" w:rsidR="00DB4908" w:rsidRPr="00DB4908" w:rsidRDefault="000E7FCD" w:rsidP="00A6428D">
      <w:pPr>
        <w:pStyle w:val="NormalWeb"/>
        <w:numPr>
          <w:ilvl w:val="0"/>
          <w:numId w:val="3"/>
        </w:numPr>
        <w:spacing w:before="0" w:beforeAutospacing="0" w:after="0" w:afterAutospacing="0"/>
        <w:jc w:val="both"/>
        <w:rPr>
          <w:szCs w:val="18"/>
        </w:rPr>
      </w:pPr>
      <w:r>
        <w:rPr>
          <w:szCs w:val="18"/>
        </w:rPr>
        <w:t>Suggest gender</w:t>
      </w:r>
      <w:r w:rsidR="00533A50" w:rsidRPr="00D42862">
        <w:rPr>
          <w:szCs w:val="18"/>
        </w:rPr>
        <w:t xml:space="preserve"> interventions </w:t>
      </w:r>
      <w:r>
        <w:rPr>
          <w:szCs w:val="18"/>
        </w:rPr>
        <w:t xml:space="preserve">that will </w:t>
      </w:r>
      <w:r w:rsidR="00533A50" w:rsidRPr="00D42862">
        <w:rPr>
          <w:szCs w:val="18"/>
        </w:rPr>
        <w:t>contribute to the set indicators and targets and suggest appropriate interventions and modifications in the indicators if required</w:t>
      </w:r>
      <w:r>
        <w:rPr>
          <w:szCs w:val="18"/>
        </w:rPr>
        <w:t>.</w:t>
      </w:r>
    </w:p>
    <w:p w14:paraId="37691DD2" w14:textId="600AE814" w:rsidR="00533A50" w:rsidRDefault="000E7FCD" w:rsidP="00A6428D">
      <w:pPr>
        <w:pStyle w:val="NormalWeb"/>
        <w:numPr>
          <w:ilvl w:val="0"/>
          <w:numId w:val="3"/>
        </w:numPr>
        <w:spacing w:before="0" w:beforeAutospacing="0" w:after="0" w:afterAutospacing="0"/>
        <w:jc w:val="both"/>
        <w:rPr>
          <w:szCs w:val="18"/>
        </w:rPr>
      </w:pPr>
      <w:r>
        <w:rPr>
          <w:szCs w:val="18"/>
        </w:rPr>
        <w:t>Develop a training programme for a gender awareness training.</w:t>
      </w:r>
    </w:p>
    <w:p w14:paraId="1D762168" w14:textId="648DB7C2" w:rsidR="000E7FCD" w:rsidRDefault="000E7FCD" w:rsidP="00A6428D">
      <w:pPr>
        <w:pStyle w:val="NormalWeb"/>
        <w:numPr>
          <w:ilvl w:val="0"/>
          <w:numId w:val="3"/>
        </w:numPr>
        <w:spacing w:before="0" w:beforeAutospacing="0" w:after="0" w:afterAutospacing="0"/>
        <w:jc w:val="both"/>
        <w:rPr>
          <w:szCs w:val="18"/>
        </w:rPr>
      </w:pPr>
      <w:r>
        <w:rPr>
          <w:szCs w:val="18"/>
        </w:rPr>
        <w:t>Conduct a training for the Trainer of Trainees (TOTs) with the selected ISDAP staff who will be the trainers of farmers.</w:t>
      </w:r>
    </w:p>
    <w:p w14:paraId="5C32CEEA" w14:textId="07A5D0C3" w:rsidR="00DB4908" w:rsidRPr="00DB4908" w:rsidRDefault="00DB4908" w:rsidP="00A6428D">
      <w:pPr>
        <w:pStyle w:val="NormalWeb"/>
        <w:numPr>
          <w:ilvl w:val="0"/>
          <w:numId w:val="3"/>
        </w:numPr>
        <w:spacing w:before="0" w:beforeAutospacing="0" w:after="0" w:afterAutospacing="0"/>
        <w:jc w:val="both"/>
        <w:rPr>
          <w:szCs w:val="18"/>
        </w:rPr>
      </w:pPr>
      <w:r w:rsidRPr="00D42862">
        <w:rPr>
          <w:szCs w:val="18"/>
        </w:rPr>
        <w:t xml:space="preserve">Prepare draft </w:t>
      </w:r>
      <w:r w:rsidR="00407073">
        <w:rPr>
          <w:szCs w:val="18"/>
        </w:rPr>
        <w:t xml:space="preserve">assignment </w:t>
      </w:r>
      <w:r w:rsidRPr="00D42862">
        <w:rPr>
          <w:szCs w:val="18"/>
        </w:rPr>
        <w:t xml:space="preserve">report and share with </w:t>
      </w:r>
      <w:r>
        <w:rPr>
          <w:szCs w:val="18"/>
          <w:lang w:val="en-GB"/>
        </w:rPr>
        <w:t>ISDAP</w:t>
      </w:r>
      <w:r w:rsidRPr="00D42862">
        <w:rPr>
          <w:szCs w:val="18"/>
        </w:rPr>
        <w:t xml:space="preserve"> project </w:t>
      </w:r>
      <w:r w:rsidR="007C0636" w:rsidRPr="00D42862">
        <w:rPr>
          <w:szCs w:val="18"/>
        </w:rPr>
        <w:t>staffs and</w:t>
      </w:r>
      <w:r w:rsidRPr="00D42862">
        <w:rPr>
          <w:szCs w:val="18"/>
        </w:rPr>
        <w:t xml:space="preserve"> collect their feedback. </w:t>
      </w:r>
    </w:p>
    <w:p w14:paraId="56A9C8B2" w14:textId="77777777" w:rsidR="00533A50" w:rsidRPr="00D42862" w:rsidRDefault="00533A50" w:rsidP="00A6428D">
      <w:pPr>
        <w:pStyle w:val="NormalWeb"/>
        <w:numPr>
          <w:ilvl w:val="0"/>
          <w:numId w:val="3"/>
        </w:numPr>
        <w:spacing w:before="0" w:beforeAutospacing="0" w:after="0" w:afterAutospacing="0"/>
        <w:jc w:val="both"/>
        <w:rPr>
          <w:b/>
          <w:bCs/>
          <w:szCs w:val="18"/>
          <w:lang w:val="en-GB"/>
        </w:rPr>
      </w:pPr>
      <w:r w:rsidRPr="00D42862">
        <w:rPr>
          <w:szCs w:val="18"/>
        </w:rPr>
        <w:t xml:space="preserve">Prepare final report incorporating feedbacks and suggestions and submission of final report </w:t>
      </w:r>
    </w:p>
    <w:p w14:paraId="4A853279" w14:textId="77777777" w:rsidR="00533A50" w:rsidRPr="00D42862" w:rsidRDefault="00533A50" w:rsidP="00A6428D">
      <w:pPr>
        <w:pStyle w:val="NormalWeb"/>
        <w:numPr>
          <w:ilvl w:val="0"/>
          <w:numId w:val="3"/>
        </w:numPr>
        <w:spacing w:before="0" w:beforeAutospacing="0" w:after="0" w:afterAutospacing="0"/>
        <w:jc w:val="both"/>
        <w:rPr>
          <w:b/>
          <w:bCs/>
          <w:szCs w:val="18"/>
          <w:lang w:val="en-GB"/>
        </w:rPr>
      </w:pPr>
      <w:r w:rsidRPr="00D42862">
        <w:rPr>
          <w:b/>
          <w:bCs/>
          <w:szCs w:val="18"/>
          <w:lang w:val="en-GB"/>
        </w:rPr>
        <w:t>Note that</w:t>
      </w:r>
      <w:r w:rsidRPr="00D42862">
        <w:rPr>
          <w:szCs w:val="18"/>
          <w:lang w:val="en-GB"/>
        </w:rPr>
        <w:t xml:space="preserve">: the </w:t>
      </w:r>
      <w:r w:rsidRPr="00D42862">
        <w:rPr>
          <w:szCs w:val="18"/>
        </w:rPr>
        <w:t xml:space="preserve">composition of study team is up to the consultant/firm and can choose depending on their internal system, </w:t>
      </w:r>
      <w:proofErr w:type="gramStart"/>
      <w:r w:rsidRPr="00D42862">
        <w:rPr>
          <w:szCs w:val="18"/>
        </w:rPr>
        <w:t>ideas</w:t>
      </w:r>
      <w:proofErr w:type="gramEnd"/>
      <w:r w:rsidRPr="00D42862">
        <w:rPr>
          <w:szCs w:val="18"/>
        </w:rPr>
        <w:t xml:space="preserve"> and logic but team members must fulfil competency criteria.</w:t>
      </w:r>
    </w:p>
    <w:p w14:paraId="72EE35AE" w14:textId="77777777" w:rsidR="00533A50" w:rsidRPr="00D42862" w:rsidRDefault="00533A50" w:rsidP="00BA3435">
      <w:pPr>
        <w:pStyle w:val="NormalWeb"/>
        <w:spacing w:before="0" w:beforeAutospacing="0" w:after="0" w:afterAutospacing="0"/>
        <w:ind w:left="720"/>
        <w:jc w:val="both"/>
        <w:rPr>
          <w:b/>
          <w:bCs/>
          <w:szCs w:val="18"/>
          <w:lang w:val="en-GB"/>
        </w:rPr>
      </w:pPr>
    </w:p>
    <w:p w14:paraId="378E395D" w14:textId="77777777" w:rsidR="00533A50" w:rsidRPr="00D42862" w:rsidRDefault="00533A50" w:rsidP="00BA3435">
      <w:pPr>
        <w:pStyle w:val="NormalWeb"/>
        <w:spacing w:before="0" w:beforeAutospacing="0" w:after="0" w:afterAutospacing="0"/>
        <w:ind w:left="720"/>
        <w:jc w:val="both"/>
        <w:rPr>
          <w:b/>
          <w:bCs/>
          <w:szCs w:val="18"/>
          <w:lang w:val="en-GB"/>
        </w:rPr>
      </w:pPr>
    </w:p>
    <w:p w14:paraId="663B8704" w14:textId="7C6032FE" w:rsidR="00533A50" w:rsidRDefault="00EF0415" w:rsidP="00BA3435">
      <w:pPr>
        <w:pStyle w:val="NormalWeb"/>
        <w:spacing w:before="0" w:beforeAutospacing="0" w:after="0" w:afterAutospacing="0"/>
        <w:jc w:val="both"/>
        <w:rPr>
          <w:color w:val="00B0F0"/>
          <w:szCs w:val="18"/>
        </w:rPr>
      </w:pPr>
      <w:r w:rsidRPr="00D42862">
        <w:rPr>
          <w:b/>
          <w:bCs/>
          <w:color w:val="00B0F0"/>
          <w:szCs w:val="18"/>
          <w:lang w:val="en-GB"/>
        </w:rPr>
        <w:t xml:space="preserve">6.0 </w:t>
      </w:r>
      <w:r w:rsidR="00533A50" w:rsidRPr="00D42862">
        <w:rPr>
          <w:b/>
          <w:bCs/>
          <w:color w:val="00B0F0"/>
          <w:szCs w:val="18"/>
          <w:lang w:val="en-GB"/>
        </w:rPr>
        <w:t>Expected d</w:t>
      </w:r>
      <w:r w:rsidR="00533A50" w:rsidRPr="00D42862">
        <w:rPr>
          <w:b/>
          <w:bCs/>
          <w:color w:val="00B0F0"/>
          <w:szCs w:val="18"/>
        </w:rPr>
        <w:t>eliverables:</w:t>
      </w:r>
      <w:r w:rsidR="00533A50" w:rsidRPr="00D42862">
        <w:rPr>
          <w:color w:val="00B0F0"/>
          <w:szCs w:val="18"/>
        </w:rPr>
        <w:t xml:space="preserve"> </w:t>
      </w:r>
    </w:p>
    <w:p w14:paraId="11912978" w14:textId="77777777" w:rsidR="00F92334" w:rsidRPr="00D42862" w:rsidRDefault="00F92334" w:rsidP="00BA3435">
      <w:pPr>
        <w:pStyle w:val="NormalWeb"/>
        <w:spacing w:before="0" w:beforeAutospacing="0" w:after="0" w:afterAutospacing="0"/>
        <w:jc w:val="both"/>
        <w:rPr>
          <w:color w:val="00B0F0"/>
          <w:szCs w:val="18"/>
        </w:rPr>
      </w:pPr>
    </w:p>
    <w:p w14:paraId="14B78351" w14:textId="788E350A" w:rsidR="00533A50" w:rsidRPr="00D42862" w:rsidRDefault="00DB4908" w:rsidP="00A6428D">
      <w:pPr>
        <w:pStyle w:val="NormalWeb"/>
        <w:numPr>
          <w:ilvl w:val="0"/>
          <w:numId w:val="5"/>
        </w:numPr>
        <w:spacing w:before="0" w:beforeAutospacing="0" w:after="0" w:afterAutospacing="0"/>
        <w:jc w:val="both"/>
        <w:rPr>
          <w:szCs w:val="18"/>
        </w:rPr>
      </w:pPr>
      <w:r>
        <w:rPr>
          <w:b/>
          <w:bCs/>
          <w:szCs w:val="18"/>
          <w:lang w:val="en-GB"/>
        </w:rPr>
        <w:t>Assessment</w:t>
      </w:r>
      <w:r w:rsidR="00533A50" w:rsidRPr="00D42862">
        <w:rPr>
          <w:b/>
          <w:bCs/>
          <w:szCs w:val="18"/>
          <w:lang w:val="en-GB"/>
        </w:rPr>
        <w:t xml:space="preserve"> Report:</w:t>
      </w:r>
      <w:r w:rsidR="00533A50" w:rsidRPr="00D42862">
        <w:rPr>
          <w:szCs w:val="18"/>
          <w:lang w:val="en-GB"/>
        </w:rPr>
        <w:t xml:space="preserve"> </w:t>
      </w:r>
      <w:r w:rsidR="00533A50" w:rsidRPr="00D42862">
        <w:rPr>
          <w:szCs w:val="18"/>
        </w:rPr>
        <w:t xml:space="preserve">The </w:t>
      </w:r>
      <w:r>
        <w:rPr>
          <w:szCs w:val="18"/>
        </w:rPr>
        <w:t xml:space="preserve">gender assessment report shall be submitted to the project and shall be </w:t>
      </w:r>
      <w:r w:rsidR="00533A50" w:rsidRPr="00D42862">
        <w:rPr>
          <w:szCs w:val="18"/>
        </w:rPr>
        <w:t xml:space="preserve">written in simple, non-technical language, with any technical material presented in annexes. </w:t>
      </w:r>
    </w:p>
    <w:p w14:paraId="1F86CB70" w14:textId="6BE09DF9" w:rsidR="00533A50" w:rsidRPr="00F92334" w:rsidRDefault="00DB4908" w:rsidP="00A6428D">
      <w:pPr>
        <w:pStyle w:val="NormalWeb"/>
        <w:numPr>
          <w:ilvl w:val="0"/>
          <w:numId w:val="5"/>
        </w:numPr>
        <w:spacing w:before="0" w:beforeAutospacing="0" w:after="0" w:afterAutospacing="0"/>
        <w:jc w:val="both"/>
        <w:rPr>
          <w:szCs w:val="18"/>
        </w:rPr>
      </w:pPr>
      <w:r>
        <w:rPr>
          <w:b/>
          <w:bCs/>
          <w:szCs w:val="18"/>
          <w:lang w:val="en-GB"/>
        </w:rPr>
        <w:t>Gender policy</w:t>
      </w:r>
      <w:r w:rsidR="00533A50" w:rsidRPr="00D42862">
        <w:rPr>
          <w:b/>
          <w:bCs/>
          <w:szCs w:val="18"/>
          <w:lang w:val="en-GB"/>
        </w:rPr>
        <w:t>:</w:t>
      </w:r>
      <w:r>
        <w:rPr>
          <w:b/>
          <w:bCs/>
          <w:szCs w:val="18"/>
          <w:lang w:val="en-GB"/>
        </w:rPr>
        <w:t xml:space="preserve"> </w:t>
      </w:r>
      <w:r w:rsidRPr="006B602D">
        <w:rPr>
          <w:szCs w:val="18"/>
          <w:lang w:val="en-GB"/>
        </w:rPr>
        <w:t>A</w:t>
      </w:r>
      <w:r w:rsidR="006B602D">
        <w:rPr>
          <w:szCs w:val="18"/>
          <w:lang w:val="en-GB"/>
        </w:rPr>
        <w:t xml:space="preserve"> final </w:t>
      </w:r>
      <w:r w:rsidRPr="006B602D">
        <w:rPr>
          <w:szCs w:val="18"/>
          <w:lang w:val="en-GB"/>
        </w:rPr>
        <w:t xml:space="preserve">gender policy after the reviews and feedbacks shall be submitted </w:t>
      </w:r>
      <w:r w:rsidR="006B602D">
        <w:rPr>
          <w:szCs w:val="18"/>
          <w:lang w:val="en-GB"/>
        </w:rPr>
        <w:t xml:space="preserve">and </w:t>
      </w:r>
      <w:r w:rsidR="006B602D" w:rsidRPr="006B602D">
        <w:rPr>
          <w:szCs w:val="18"/>
          <w:lang w:val="en-GB"/>
        </w:rPr>
        <w:t>presented to the project for approval</w:t>
      </w:r>
      <w:r w:rsidR="006B602D">
        <w:rPr>
          <w:szCs w:val="18"/>
          <w:lang w:val="en-GB"/>
        </w:rPr>
        <w:t>.</w:t>
      </w:r>
      <w:r w:rsidR="006B602D" w:rsidRPr="006B602D">
        <w:rPr>
          <w:szCs w:val="18"/>
          <w:lang w:val="en-GB"/>
        </w:rPr>
        <w:t xml:space="preserve"> This shall be presented in hard and soft copies</w:t>
      </w:r>
      <w:r w:rsidR="006B602D">
        <w:rPr>
          <w:szCs w:val="18"/>
          <w:lang w:val="en-GB"/>
        </w:rPr>
        <w:t xml:space="preserve"> </w:t>
      </w:r>
      <w:r w:rsidR="006B602D" w:rsidRPr="006B602D">
        <w:rPr>
          <w:szCs w:val="18"/>
          <w:lang w:val="en-GB"/>
        </w:rPr>
        <w:t>an</w:t>
      </w:r>
      <w:r w:rsidR="006B602D">
        <w:rPr>
          <w:szCs w:val="18"/>
          <w:lang w:val="en-GB"/>
        </w:rPr>
        <w:t>d</w:t>
      </w:r>
      <w:r w:rsidR="006B602D" w:rsidRPr="006B602D">
        <w:rPr>
          <w:szCs w:val="18"/>
          <w:lang w:val="en-GB"/>
        </w:rPr>
        <w:t xml:space="preserve"> shall be </w:t>
      </w:r>
      <w:r w:rsidR="00533A50" w:rsidRPr="006B602D">
        <w:rPr>
          <w:szCs w:val="18"/>
        </w:rPr>
        <w:t>the property of</w:t>
      </w:r>
      <w:r w:rsidR="006B602D" w:rsidRPr="006B602D">
        <w:rPr>
          <w:szCs w:val="18"/>
          <w:lang w:val="en-GB"/>
        </w:rPr>
        <w:t xml:space="preserve"> </w:t>
      </w:r>
      <w:r w:rsidR="00F92334">
        <w:rPr>
          <w:szCs w:val="18"/>
          <w:lang w:val="en-GB"/>
        </w:rPr>
        <w:t>SNV-</w:t>
      </w:r>
      <w:r w:rsidR="006B602D" w:rsidRPr="006B602D">
        <w:rPr>
          <w:szCs w:val="18"/>
          <w:lang w:val="en-GB"/>
        </w:rPr>
        <w:t>ISDAP</w:t>
      </w:r>
      <w:r w:rsidR="00533A50" w:rsidRPr="006B602D">
        <w:rPr>
          <w:szCs w:val="18"/>
        </w:rPr>
        <w:t>.</w:t>
      </w:r>
      <w:r w:rsidR="006B602D">
        <w:rPr>
          <w:szCs w:val="18"/>
        </w:rPr>
        <w:t xml:space="preserve"> The policy shall incorporate a m</w:t>
      </w:r>
      <w:r w:rsidR="006B602D">
        <w:t xml:space="preserve">ainstreaming Approach to Stakeholders, </w:t>
      </w:r>
      <w:r w:rsidR="007C0636">
        <w:t>mainstreaming</w:t>
      </w:r>
      <w:r w:rsidR="006B602D">
        <w:t xml:space="preserve"> a Gender </w:t>
      </w:r>
      <w:r w:rsidR="007C0636">
        <w:t>Agenda,</w:t>
      </w:r>
      <w:r w:rsidR="006B602D">
        <w:t xml:space="preserve"> Moving Towards Gender Equality, Mapping the Situation, Gender Matters, Keeping a (Gender-Sensitive) Eye on Things, </w:t>
      </w:r>
      <w:proofErr w:type="spellStart"/>
      <w:r w:rsidR="006B602D">
        <w:t>En</w:t>
      </w:r>
      <w:proofErr w:type="spellEnd"/>
      <w:r w:rsidR="006B602D">
        <w:t xml:space="preserve">-gendering Communication, Interventions from a gender perspective among others. </w:t>
      </w:r>
    </w:p>
    <w:p w14:paraId="07342F58" w14:textId="5BB1F6E0" w:rsidR="00F92334" w:rsidRPr="006B602D" w:rsidRDefault="00F92334" w:rsidP="00A6428D">
      <w:pPr>
        <w:pStyle w:val="NormalWeb"/>
        <w:numPr>
          <w:ilvl w:val="0"/>
          <w:numId w:val="5"/>
        </w:numPr>
        <w:spacing w:before="0" w:beforeAutospacing="0" w:after="0" w:afterAutospacing="0"/>
        <w:jc w:val="both"/>
        <w:rPr>
          <w:szCs w:val="18"/>
        </w:rPr>
      </w:pPr>
      <w:r>
        <w:rPr>
          <w:b/>
          <w:bCs/>
          <w:szCs w:val="18"/>
          <w:lang w:val="en-GB"/>
        </w:rPr>
        <w:t xml:space="preserve">Gender awareness training programme: </w:t>
      </w:r>
      <w:r w:rsidRPr="00F92334">
        <w:rPr>
          <w:szCs w:val="18"/>
          <w:lang w:val="en-GB"/>
        </w:rPr>
        <w:t>Th</w:t>
      </w:r>
      <w:r>
        <w:rPr>
          <w:szCs w:val="18"/>
          <w:lang w:val="en-GB"/>
        </w:rPr>
        <w:t xml:space="preserve">is training program shall </w:t>
      </w:r>
      <w:r w:rsidR="00FB5F83">
        <w:rPr>
          <w:szCs w:val="18"/>
          <w:lang w:val="en-GB"/>
        </w:rPr>
        <w:t>b</w:t>
      </w:r>
      <w:r>
        <w:rPr>
          <w:szCs w:val="18"/>
          <w:lang w:val="en-GB"/>
        </w:rPr>
        <w:t xml:space="preserve">e developed and selected TOTs trained on delivering the gender awareness training. It should specify the </w:t>
      </w:r>
      <w:r w:rsidR="00FB5F83">
        <w:rPr>
          <w:szCs w:val="18"/>
          <w:lang w:val="en-GB"/>
        </w:rPr>
        <w:t xml:space="preserve">content, </w:t>
      </w:r>
      <w:r>
        <w:rPr>
          <w:szCs w:val="18"/>
          <w:lang w:val="en-GB"/>
        </w:rPr>
        <w:t>number of days</w:t>
      </w:r>
      <w:r w:rsidR="00FB5F83">
        <w:rPr>
          <w:szCs w:val="18"/>
          <w:lang w:val="en-GB"/>
        </w:rPr>
        <w:t xml:space="preserve">, the materials needed, what should be done during preparation, training and reporting, the reporting template included, specify who qualifies for the training. The material should also be in simple language for participants to understand. </w:t>
      </w:r>
    </w:p>
    <w:p w14:paraId="20B8772C" w14:textId="77777777" w:rsidR="00533A50" w:rsidRPr="00F92334" w:rsidRDefault="00533A50" w:rsidP="00F92334">
      <w:pPr>
        <w:jc w:val="both"/>
        <w:rPr>
          <w:b/>
          <w:bCs/>
          <w:szCs w:val="18"/>
        </w:rPr>
      </w:pPr>
    </w:p>
    <w:p w14:paraId="23058CD5" w14:textId="5A69D8AC" w:rsidR="00407073" w:rsidRDefault="00533A50" w:rsidP="00A6428D">
      <w:pPr>
        <w:pStyle w:val="NormalWeb"/>
        <w:numPr>
          <w:ilvl w:val="0"/>
          <w:numId w:val="5"/>
        </w:numPr>
        <w:spacing w:before="0" w:beforeAutospacing="0" w:after="0" w:afterAutospacing="0"/>
        <w:jc w:val="both"/>
        <w:rPr>
          <w:szCs w:val="18"/>
        </w:rPr>
      </w:pPr>
      <w:r w:rsidRPr="00D42862">
        <w:rPr>
          <w:b/>
          <w:bCs/>
          <w:szCs w:val="18"/>
        </w:rPr>
        <w:t>Final Report:</w:t>
      </w:r>
      <w:r w:rsidRPr="00D42862">
        <w:rPr>
          <w:szCs w:val="18"/>
        </w:rPr>
        <w:t xml:space="preserve"> Within [</w:t>
      </w:r>
      <w:r w:rsidR="003B01DE" w:rsidRPr="00D42862">
        <w:rPr>
          <w:szCs w:val="18"/>
          <w:lang w:val="en-GB"/>
        </w:rPr>
        <w:t>3</w:t>
      </w:r>
      <w:r w:rsidRPr="00D42862">
        <w:rPr>
          <w:szCs w:val="18"/>
        </w:rPr>
        <w:t xml:space="preserve">0] working days of </w:t>
      </w:r>
      <w:r w:rsidR="00DB4908">
        <w:rPr>
          <w:szCs w:val="18"/>
        </w:rPr>
        <w:t>the assignment</w:t>
      </w:r>
      <w:r w:rsidRPr="00D42862">
        <w:rPr>
          <w:szCs w:val="18"/>
        </w:rPr>
        <w:t xml:space="preserve"> a detailed report</w:t>
      </w:r>
      <w:r w:rsidR="00DB4908">
        <w:rPr>
          <w:szCs w:val="18"/>
        </w:rPr>
        <w:t xml:space="preserve"> </w:t>
      </w:r>
      <w:r w:rsidRPr="00D42862">
        <w:rPr>
          <w:szCs w:val="18"/>
        </w:rPr>
        <w:t>shall be submitted for approval. This report shall</w:t>
      </w:r>
      <w:r w:rsidR="006B602D">
        <w:rPr>
          <w:szCs w:val="18"/>
        </w:rPr>
        <w:t xml:space="preserve"> </w:t>
      </w:r>
      <w:r w:rsidRPr="00D42862">
        <w:rPr>
          <w:szCs w:val="18"/>
        </w:rPr>
        <w:t>incorporat</w:t>
      </w:r>
      <w:r w:rsidR="00F92334">
        <w:rPr>
          <w:szCs w:val="18"/>
        </w:rPr>
        <w:t>e</w:t>
      </w:r>
      <w:r w:rsidRPr="00D42862">
        <w:rPr>
          <w:szCs w:val="18"/>
        </w:rPr>
        <w:t xml:space="preserve"> specific, </w:t>
      </w:r>
      <w:r w:rsidR="007C0636" w:rsidRPr="00D42862">
        <w:rPr>
          <w:szCs w:val="18"/>
        </w:rPr>
        <w:t>practical,</w:t>
      </w:r>
      <w:r w:rsidRPr="00D42862">
        <w:rPr>
          <w:szCs w:val="18"/>
        </w:rPr>
        <w:t xml:space="preserve"> and feasible recommendations for </w:t>
      </w:r>
      <w:r w:rsidRPr="00D42862">
        <w:rPr>
          <w:szCs w:val="18"/>
          <w:lang w:val="en-GB"/>
        </w:rPr>
        <w:t>how</w:t>
      </w:r>
      <w:r w:rsidRPr="00D42862">
        <w:rPr>
          <w:szCs w:val="18"/>
        </w:rPr>
        <w:t xml:space="preserve"> project</w:t>
      </w:r>
      <w:r w:rsidR="006B602D">
        <w:rPr>
          <w:szCs w:val="18"/>
        </w:rPr>
        <w:t xml:space="preserve"> execution</w:t>
      </w:r>
      <w:r w:rsidRPr="00D42862">
        <w:rPr>
          <w:szCs w:val="18"/>
          <w:lang w:val="en-GB"/>
        </w:rPr>
        <w:t xml:space="preserve"> can be done</w:t>
      </w:r>
      <w:r w:rsidRPr="00D42862">
        <w:rPr>
          <w:szCs w:val="18"/>
        </w:rPr>
        <w:t xml:space="preserve"> </w:t>
      </w:r>
      <w:r w:rsidR="006B602D">
        <w:rPr>
          <w:szCs w:val="18"/>
        </w:rPr>
        <w:t xml:space="preserve">with a gender lens </w:t>
      </w:r>
      <w:r w:rsidRPr="00D42862">
        <w:rPr>
          <w:szCs w:val="18"/>
        </w:rPr>
        <w:t>and outcomes based on learning from project design.</w:t>
      </w:r>
    </w:p>
    <w:p w14:paraId="25639E0C" w14:textId="482DE060" w:rsidR="00533A50" w:rsidRDefault="00533A50" w:rsidP="007757F3">
      <w:pPr>
        <w:pStyle w:val="NormalWeb"/>
        <w:spacing w:before="0" w:beforeAutospacing="0" w:after="0" w:afterAutospacing="0"/>
        <w:jc w:val="both"/>
        <w:rPr>
          <w:szCs w:val="18"/>
        </w:rPr>
      </w:pPr>
      <w:r w:rsidRPr="00D42862">
        <w:rPr>
          <w:szCs w:val="18"/>
        </w:rPr>
        <w:t xml:space="preserve"> </w:t>
      </w:r>
    </w:p>
    <w:p w14:paraId="5EAAA540" w14:textId="60BB7645" w:rsidR="00FB5F83" w:rsidRPr="00FB5F83" w:rsidRDefault="00FB5F83" w:rsidP="00A6428D">
      <w:pPr>
        <w:pStyle w:val="ListParagraph"/>
        <w:numPr>
          <w:ilvl w:val="0"/>
          <w:numId w:val="5"/>
        </w:numPr>
        <w:spacing w:after="160"/>
        <w:rPr>
          <w:rFonts w:cs="Arial"/>
        </w:rPr>
      </w:pPr>
      <w:r w:rsidRPr="00FB5F83">
        <w:rPr>
          <w:rFonts w:cs="Arial"/>
          <w:b/>
          <w:bCs/>
        </w:rPr>
        <w:t>Develop a gender strategy/Action plan for ISDAP</w:t>
      </w:r>
      <w:r w:rsidRPr="00FB5F83">
        <w:rPr>
          <w:rFonts w:cs="Arial"/>
        </w:rPr>
        <w:t xml:space="preserve"> and m</w:t>
      </w:r>
      <w:r w:rsidRPr="00FB5F83">
        <w:rPr>
          <w:rFonts w:cs="Arial"/>
          <w:szCs w:val="18"/>
        </w:rPr>
        <w:t xml:space="preserve">ake recommendations on how to Integrate monitoring of GESI strategy indicators through quarterly checks and tools and templates for regular reporting, </w:t>
      </w:r>
      <w:r w:rsidR="007C0636" w:rsidRPr="00FB5F83">
        <w:rPr>
          <w:rFonts w:cs="Arial"/>
          <w:szCs w:val="18"/>
        </w:rPr>
        <w:t>reflection,</w:t>
      </w:r>
      <w:r w:rsidRPr="00FB5F83">
        <w:rPr>
          <w:rFonts w:cs="Arial"/>
          <w:szCs w:val="18"/>
        </w:rPr>
        <w:t xml:space="preserve"> and outcome harvesting.</w:t>
      </w:r>
    </w:p>
    <w:p w14:paraId="549AD2D3" w14:textId="77777777" w:rsidR="00FB5F83" w:rsidRPr="00FB5F83" w:rsidRDefault="00FB5F83" w:rsidP="007757F3">
      <w:pPr>
        <w:pStyle w:val="ListParagraph"/>
        <w:rPr>
          <w:rFonts w:cs="Arial"/>
          <w:szCs w:val="18"/>
        </w:rPr>
      </w:pPr>
    </w:p>
    <w:p w14:paraId="64C553C0" w14:textId="77777777" w:rsidR="00533A50" w:rsidRPr="00D42862" w:rsidRDefault="00533A50" w:rsidP="00BA3435">
      <w:pPr>
        <w:pStyle w:val="NormalWeb"/>
        <w:spacing w:before="0" w:beforeAutospacing="0" w:after="0" w:afterAutospacing="0"/>
        <w:jc w:val="both"/>
        <w:rPr>
          <w:szCs w:val="18"/>
        </w:rPr>
      </w:pPr>
    </w:p>
    <w:p w14:paraId="012AD162" w14:textId="0E4389EE" w:rsidR="00533A50" w:rsidRPr="00D42862" w:rsidRDefault="00EF0415" w:rsidP="00BA3435">
      <w:pPr>
        <w:pStyle w:val="NormalWeb"/>
        <w:spacing w:before="0" w:beforeAutospacing="0" w:after="0" w:afterAutospacing="0"/>
        <w:jc w:val="both"/>
        <w:rPr>
          <w:b/>
          <w:bCs/>
          <w:color w:val="00B0F0"/>
          <w:szCs w:val="18"/>
          <w:lang w:val="en-GB"/>
        </w:rPr>
      </w:pPr>
      <w:bookmarkStart w:id="18" w:name="_Hlk119591200"/>
      <w:r w:rsidRPr="00D42862">
        <w:rPr>
          <w:b/>
          <w:bCs/>
          <w:color w:val="00B0F0"/>
          <w:szCs w:val="18"/>
          <w:lang w:val="en-GB"/>
        </w:rPr>
        <w:t>7.0</w:t>
      </w:r>
      <w:r w:rsidR="00DB4908">
        <w:rPr>
          <w:b/>
          <w:bCs/>
          <w:color w:val="00B0F0"/>
          <w:szCs w:val="18"/>
          <w:lang w:val="en-GB"/>
        </w:rPr>
        <w:t xml:space="preserve"> Assignment</w:t>
      </w:r>
      <w:r w:rsidR="00533A50" w:rsidRPr="00D42862">
        <w:rPr>
          <w:b/>
          <w:bCs/>
          <w:color w:val="00B0F0"/>
          <w:szCs w:val="18"/>
          <w:lang w:val="en-GB"/>
        </w:rPr>
        <w:t xml:space="preserve"> Period</w:t>
      </w:r>
    </w:p>
    <w:bookmarkEnd w:id="18"/>
    <w:p w14:paraId="62AF4DE7" w14:textId="2C4E7CDB" w:rsidR="00533A50" w:rsidRPr="00D42862" w:rsidRDefault="00533A50" w:rsidP="00BA3435">
      <w:pPr>
        <w:pStyle w:val="NormalWeb"/>
        <w:spacing w:before="0" w:beforeAutospacing="0" w:after="0" w:afterAutospacing="0"/>
        <w:jc w:val="both"/>
        <w:rPr>
          <w:szCs w:val="18"/>
          <w:lang w:val="en-GB"/>
        </w:rPr>
      </w:pPr>
      <w:r w:rsidRPr="00D42862">
        <w:rPr>
          <w:szCs w:val="18"/>
          <w:lang w:val="en-GB"/>
        </w:rPr>
        <w:t>This</w:t>
      </w:r>
      <w:r w:rsidR="00DB4908">
        <w:rPr>
          <w:szCs w:val="18"/>
          <w:lang w:val="en-GB"/>
        </w:rPr>
        <w:t xml:space="preserve"> GESI assignment </w:t>
      </w:r>
      <w:r w:rsidRPr="00D42862">
        <w:rPr>
          <w:szCs w:val="18"/>
          <w:lang w:val="en-GB"/>
        </w:rPr>
        <w:t xml:space="preserve">will be conducted for a period of </w:t>
      </w:r>
      <w:r w:rsidR="003B01DE" w:rsidRPr="00D42862">
        <w:rPr>
          <w:szCs w:val="18"/>
          <w:lang w:val="en-GB"/>
        </w:rPr>
        <w:t>3</w:t>
      </w:r>
      <w:r w:rsidRPr="00D42862">
        <w:rPr>
          <w:szCs w:val="18"/>
          <w:lang w:val="en-GB"/>
        </w:rPr>
        <w:t>0 days inclusive of writing a report. The count of days will start from the date of contract signing.</w:t>
      </w:r>
    </w:p>
    <w:p w14:paraId="662A5273" w14:textId="61E9CE00" w:rsidR="00FC125A" w:rsidRDefault="00FC125A" w:rsidP="00FC125A">
      <w:pPr>
        <w:pStyle w:val="NormalWeb"/>
        <w:spacing w:before="0" w:beforeAutospacing="0" w:after="0" w:afterAutospacing="0"/>
        <w:jc w:val="both"/>
        <w:rPr>
          <w:szCs w:val="18"/>
          <w:lang w:val="en-GB"/>
        </w:rPr>
      </w:pPr>
    </w:p>
    <w:p w14:paraId="6190CEC8" w14:textId="77777777" w:rsidR="00FC125A" w:rsidRPr="00D42862" w:rsidRDefault="00FC125A" w:rsidP="00FC125A">
      <w:pPr>
        <w:pStyle w:val="NormalWeb"/>
        <w:spacing w:before="0" w:beforeAutospacing="0" w:after="0" w:afterAutospacing="0"/>
        <w:jc w:val="both"/>
        <w:rPr>
          <w:b/>
          <w:bCs/>
          <w:color w:val="00B0F0"/>
          <w:szCs w:val="18"/>
          <w:lang w:val="en-GB"/>
        </w:rPr>
      </w:pPr>
    </w:p>
    <w:p w14:paraId="7075E9D5" w14:textId="37DD4BEA" w:rsidR="00FC125A" w:rsidRPr="00FC125A" w:rsidRDefault="00FC125A" w:rsidP="00A6428D">
      <w:pPr>
        <w:pStyle w:val="ListParagraph"/>
        <w:numPr>
          <w:ilvl w:val="0"/>
          <w:numId w:val="9"/>
        </w:numPr>
        <w:jc w:val="both"/>
        <w:rPr>
          <w:rFonts w:cs="Calibri"/>
          <w:b/>
          <w:bCs/>
          <w:color w:val="00B0F0"/>
        </w:rPr>
      </w:pPr>
      <w:r w:rsidRPr="00FC125A">
        <w:rPr>
          <w:rFonts w:cs="Calibri"/>
          <w:b/>
          <w:bCs/>
          <w:color w:val="00B0F0"/>
        </w:rPr>
        <w:lastRenderedPageBreak/>
        <w:t>Required Qualifications, competencies, and experience</w:t>
      </w:r>
    </w:p>
    <w:p w14:paraId="76987D9F" w14:textId="77777777" w:rsidR="00FC125A" w:rsidRPr="00AE571D" w:rsidRDefault="00FC125A" w:rsidP="00FC125A">
      <w:pPr>
        <w:jc w:val="both"/>
        <w:rPr>
          <w:rFonts w:cs="Calibri"/>
        </w:rPr>
      </w:pPr>
    </w:p>
    <w:p w14:paraId="531836AB" w14:textId="67D9110D" w:rsidR="00FC125A" w:rsidRPr="00FC125A" w:rsidRDefault="00FC125A" w:rsidP="00FC125A">
      <w:pPr>
        <w:spacing w:line="259" w:lineRule="auto"/>
        <w:ind w:firstLine="720"/>
        <w:jc w:val="both"/>
        <w:rPr>
          <w:rFonts w:cs="Calibri"/>
          <w:b/>
          <w:bCs/>
          <w:color w:val="00B0F0"/>
          <w:szCs w:val="18"/>
        </w:rPr>
      </w:pPr>
      <w:r w:rsidRPr="00FC125A">
        <w:rPr>
          <w:rFonts w:cs="Calibri"/>
          <w:b/>
          <w:bCs/>
          <w:color w:val="00B0F0"/>
          <w:szCs w:val="18"/>
        </w:rPr>
        <w:t>8.1 Consultant team composition, qualifications, and experience</w:t>
      </w:r>
    </w:p>
    <w:p w14:paraId="62F62C57" w14:textId="77777777" w:rsidR="00FC125A" w:rsidRPr="00D35C92" w:rsidRDefault="00FC125A" w:rsidP="00FC125A">
      <w:pPr>
        <w:ind w:left="360"/>
        <w:jc w:val="both"/>
        <w:rPr>
          <w:rFonts w:cs="Calibri"/>
          <w:b/>
          <w:bCs/>
        </w:rPr>
      </w:pPr>
    </w:p>
    <w:p w14:paraId="190FE6DD" w14:textId="77777777" w:rsidR="00FC125A" w:rsidRPr="00AE571D" w:rsidRDefault="00FC125A" w:rsidP="00FC125A">
      <w:pPr>
        <w:jc w:val="both"/>
        <w:rPr>
          <w:rFonts w:cs="Calibri"/>
        </w:rPr>
      </w:pPr>
      <w:r>
        <w:rPr>
          <w:rFonts w:cs="Calibri"/>
        </w:rPr>
        <w:t>Application for the</w:t>
      </w:r>
      <w:r w:rsidRPr="00AE571D">
        <w:rPr>
          <w:rFonts w:cs="Calibri"/>
        </w:rPr>
        <w:t xml:space="preserve"> </w:t>
      </w:r>
      <w:r>
        <w:rPr>
          <w:rFonts w:cs="Calibri"/>
        </w:rPr>
        <w:t xml:space="preserve">assessment shall be open to individuals and firms. However, the individual or team leader should </w:t>
      </w:r>
      <w:r w:rsidRPr="00AE571D">
        <w:rPr>
          <w:rFonts w:cs="Calibri"/>
        </w:rPr>
        <w:t>possess the following qualifications:</w:t>
      </w:r>
    </w:p>
    <w:p w14:paraId="12187D49" w14:textId="77777777" w:rsidR="00FC125A" w:rsidRPr="00AE571D" w:rsidRDefault="00FC125A" w:rsidP="00FC125A">
      <w:pPr>
        <w:jc w:val="both"/>
        <w:rPr>
          <w:rFonts w:cs="Calibri"/>
        </w:rPr>
      </w:pPr>
    </w:p>
    <w:p w14:paraId="508B1A8E" w14:textId="6241C48A" w:rsidR="00FC125A" w:rsidRPr="00AE571D" w:rsidRDefault="00FC125A" w:rsidP="00FC125A">
      <w:pPr>
        <w:jc w:val="both"/>
        <w:rPr>
          <w:rFonts w:cs="Calibri"/>
        </w:rPr>
      </w:pPr>
      <w:r w:rsidRPr="00AE571D">
        <w:rPr>
          <w:rFonts w:cs="Calibri"/>
          <w:b/>
          <w:bCs/>
        </w:rPr>
        <w:t>Team Leader</w:t>
      </w:r>
      <w:r w:rsidRPr="00AE571D">
        <w:rPr>
          <w:rFonts w:cs="Calibri"/>
        </w:rPr>
        <w:t xml:space="preserve">: Advanced degree with at least 10 years’ experience in </w:t>
      </w:r>
      <w:r>
        <w:rPr>
          <w:rFonts w:cs="Calibri"/>
        </w:rPr>
        <w:t>Gender related work including but not limited to Gender studies/research, gender advocacy and Gender and Development</w:t>
      </w:r>
      <w:r w:rsidRPr="00AE571D">
        <w:rPr>
          <w:rFonts w:cs="Calibri"/>
        </w:rPr>
        <w:t xml:space="preserve">. At least possess a post-graduate training in </w:t>
      </w:r>
      <w:r>
        <w:rPr>
          <w:rFonts w:cs="Calibri"/>
        </w:rPr>
        <w:t xml:space="preserve">Project planning and management and/or </w:t>
      </w:r>
      <w:r w:rsidRPr="00AE571D">
        <w:rPr>
          <w:rFonts w:cs="Calibri"/>
        </w:rPr>
        <w:t>Monitoring and Evaluation. S/he MUST demonst</w:t>
      </w:r>
      <w:r>
        <w:rPr>
          <w:rFonts w:cs="Calibri"/>
        </w:rPr>
        <w:t>rate</w:t>
      </w:r>
      <w:r w:rsidRPr="00AE571D">
        <w:rPr>
          <w:rFonts w:cs="Calibri"/>
        </w:rPr>
        <w:t xml:space="preserve"> skills and experience in undertaking qualitative and quantitative research methodologies as well as participatory research. In addition, the team leader should demonstrate international and national experiences in undertaking similar assignments.</w:t>
      </w:r>
    </w:p>
    <w:p w14:paraId="0386ACE8" w14:textId="77777777" w:rsidR="00FC125A" w:rsidRPr="00AE571D" w:rsidRDefault="00FC125A" w:rsidP="00FC125A">
      <w:pPr>
        <w:jc w:val="both"/>
        <w:rPr>
          <w:rFonts w:cs="Calibri"/>
        </w:rPr>
      </w:pPr>
    </w:p>
    <w:p w14:paraId="60A3E24C" w14:textId="77777777" w:rsidR="00FC125A" w:rsidRPr="00AE571D" w:rsidRDefault="00FC125A" w:rsidP="00FC125A">
      <w:pPr>
        <w:jc w:val="both"/>
        <w:rPr>
          <w:rFonts w:cs="Calibri"/>
        </w:rPr>
      </w:pPr>
    </w:p>
    <w:p w14:paraId="50418F25" w14:textId="31E60FD5" w:rsidR="00FC125A" w:rsidRPr="00FC125A" w:rsidRDefault="00FC125A" w:rsidP="00A6428D">
      <w:pPr>
        <w:pStyle w:val="ListParagraph"/>
        <w:numPr>
          <w:ilvl w:val="1"/>
          <w:numId w:val="10"/>
        </w:numPr>
        <w:spacing w:line="259" w:lineRule="auto"/>
        <w:ind w:firstLine="131"/>
        <w:jc w:val="both"/>
        <w:rPr>
          <w:rFonts w:cs="Calibri"/>
          <w:b/>
          <w:bCs/>
          <w:color w:val="00B0F0"/>
          <w:szCs w:val="18"/>
        </w:rPr>
      </w:pPr>
      <w:r w:rsidRPr="00FC125A">
        <w:rPr>
          <w:rFonts w:cs="Calibri"/>
          <w:b/>
          <w:bCs/>
          <w:color w:val="00B0F0"/>
          <w:szCs w:val="18"/>
        </w:rPr>
        <w:t>Team competencies</w:t>
      </w:r>
    </w:p>
    <w:p w14:paraId="7E1D591A" w14:textId="77777777" w:rsidR="00FC125A" w:rsidRPr="00092E69" w:rsidRDefault="00FC125A" w:rsidP="00FC125A">
      <w:pPr>
        <w:ind w:left="360"/>
        <w:jc w:val="both"/>
        <w:rPr>
          <w:rFonts w:cs="Calibri"/>
          <w:b/>
          <w:bCs/>
        </w:rPr>
      </w:pPr>
    </w:p>
    <w:p w14:paraId="46F03268" w14:textId="77777777" w:rsidR="00FC125A" w:rsidRPr="00FC125A" w:rsidRDefault="00FC125A" w:rsidP="00FC125A">
      <w:pPr>
        <w:jc w:val="both"/>
        <w:rPr>
          <w:rFonts w:cs="Calibri"/>
          <w:szCs w:val="18"/>
        </w:rPr>
      </w:pPr>
      <w:r w:rsidRPr="00FC125A">
        <w:rPr>
          <w:rFonts w:cs="Calibri"/>
          <w:szCs w:val="18"/>
        </w:rPr>
        <w:t>In addition to the above expertise and experience, the proposed team should demonstrate the following competencies.</w:t>
      </w:r>
    </w:p>
    <w:p w14:paraId="07CA9248" w14:textId="77777777" w:rsidR="00FC125A" w:rsidRPr="00FC125A" w:rsidRDefault="00FC125A" w:rsidP="00A6428D">
      <w:pPr>
        <w:pStyle w:val="ListParagraph"/>
        <w:numPr>
          <w:ilvl w:val="0"/>
          <w:numId w:val="6"/>
        </w:numPr>
        <w:spacing w:line="259" w:lineRule="auto"/>
        <w:jc w:val="both"/>
        <w:rPr>
          <w:rFonts w:cs="Calibri"/>
          <w:szCs w:val="18"/>
        </w:rPr>
      </w:pPr>
      <w:r w:rsidRPr="00FC125A">
        <w:rPr>
          <w:rFonts w:cs="Calibri"/>
          <w:szCs w:val="18"/>
        </w:rPr>
        <w:t>Strong research and analytical skills</w:t>
      </w:r>
    </w:p>
    <w:p w14:paraId="015A871D" w14:textId="77777777" w:rsidR="00FC125A" w:rsidRPr="00FC125A" w:rsidRDefault="00FC125A" w:rsidP="00A6428D">
      <w:pPr>
        <w:pStyle w:val="ListParagraph"/>
        <w:numPr>
          <w:ilvl w:val="0"/>
          <w:numId w:val="6"/>
        </w:numPr>
        <w:spacing w:line="259" w:lineRule="auto"/>
        <w:jc w:val="both"/>
        <w:rPr>
          <w:rFonts w:cs="Calibri"/>
          <w:szCs w:val="18"/>
        </w:rPr>
      </w:pPr>
      <w:r w:rsidRPr="00FC125A">
        <w:rPr>
          <w:rFonts w:cs="Calibri"/>
          <w:szCs w:val="18"/>
        </w:rPr>
        <w:t>Demonstrated oral and written communication skills</w:t>
      </w:r>
    </w:p>
    <w:p w14:paraId="08FE046F" w14:textId="77777777" w:rsidR="00FC125A" w:rsidRPr="00FC125A" w:rsidRDefault="00FC125A" w:rsidP="00A6428D">
      <w:pPr>
        <w:pStyle w:val="ListParagraph"/>
        <w:numPr>
          <w:ilvl w:val="0"/>
          <w:numId w:val="6"/>
        </w:numPr>
        <w:spacing w:line="259" w:lineRule="auto"/>
        <w:jc w:val="both"/>
        <w:rPr>
          <w:rFonts w:cs="Calibri"/>
          <w:szCs w:val="18"/>
        </w:rPr>
      </w:pPr>
      <w:r w:rsidRPr="00FC125A">
        <w:rPr>
          <w:rFonts w:cs="Calibri"/>
          <w:szCs w:val="18"/>
        </w:rPr>
        <w:t>Demonstrated stakeholder engagement and facilitatory skills</w:t>
      </w:r>
    </w:p>
    <w:p w14:paraId="13FCBFD7" w14:textId="53128979" w:rsidR="00FC125A" w:rsidRPr="00FC125A" w:rsidRDefault="00FC125A" w:rsidP="00A6428D">
      <w:pPr>
        <w:pStyle w:val="ListParagraph"/>
        <w:numPr>
          <w:ilvl w:val="0"/>
          <w:numId w:val="6"/>
        </w:numPr>
        <w:spacing w:line="259" w:lineRule="auto"/>
        <w:jc w:val="both"/>
        <w:rPr>
          <w:rFonts w:cs="Calibri"/>
          <w:szCs w:val="18"/>
        </w:rPr>
      </w:pPr>
      <w:r w:rsidRPr="00FC125A">
        <w:rPr>
          <w:rFonts w:cs="Calibri"/>
          <w:szCs w:val="18"/>
        </w:rPr>
        <w:t>Good understanding of the gender issues in country</w:t>
      </w:r>
    </w:p>
    <w:p w14:paraId="62584BD8" w14:textId="77777777" w:rsidR="00FC125A" w:rsidRPr="00FC125A" w:rsidRDefault="00FC125A" w:rsidP="00A6428D">
      <w:pPr>
        <w:pStyle w:val="ListParagraph"/>
        <w:numPr>
          <w:ilvl w:val="0"/>
          <w:numId w:val="6"/>
        </w:numPr>
        <w:spacing w:line="259" w:lineRule="auto"/>
        <w:jc w:val="both"/>
        <w:rPr>
          <w:rFonts w:cs="Calibri"/>
          <w:szCs w:val="18"/>
        </w:rPr>
      </w:pPr>
      <w:r w:rsidRPr="00FC125A">
        <w:rPr>
          <w:rFonts w:cs="Calibri"/>
          <w:szCs w:val="18"/>
        </w:rPr>
        <w:t>Demonstrated documentation and dissemination skills</w:t>
      </w:r>
    </w:p>
    <w:p w14:paraId="70629085" w14:textId="77777777" w:rsidR="00FC125A" w:rsidRPr="00FC125A" w:rsidRDefault="00FC125A" w:rsidP="00A6428D">
      <w:pPr>
        <w:pStyle w:val="ListParagraph"/>
        <w:numPr>
          <w:ilvl w:val="0"/>
          <w:numId w:val="6"/>
        </w:numPr>
        <w:spacing w:line="259" w:lineRule="auto"/>
        <w:jc w:val="both"/>
        <w:rPr>
          <w:rFonts w:cs="Calibri"/>
          <w:szCs w:val="18"/>
        </w:rPr>
      </w:pPr>
      <w:r w:rsidRPr="00FC125A">
        <w:rPr>
          <w:rFonts w:cs="Calibri"/>
          <w:szCs w:val="18"/>
        </w:rPr>
        <w:t>Evidenced qualitative and quantitative data collection and analysis skills</w:t>
      </w:r>
    </w:p>
    <w:p w14:paraId="47B74D2D" w14:textId="77777777" w:rsidR="00FC125A" w:rsidRPr="00FC125A" w:rsidRDefault="00FC125A" w:rsidP="00A6428D">
      <w:pPr>
        <w:pStyle w:val="ListParagraph"/>
        <w:numPr>
          <w:ilvl w:val="0"/>
          <w:numId w:val="6"/>
        </w:numPr>
        <w:spacing w:line="259" w:lineRule="auto"/>
        <w:jc w:val="both"/>
        <w:rPr>
          <w:rFonts w:cs="Calibri"/>
          <w:szCs w:val="18"/>
        </w:rPr>
      </w:pPr>
      <w:r w:rsidRPr="00FC125A">
        <w:rPr>
          <w:rFonts w:cs="Calibri"/>
          <w:szCs w:val="18"/>
        </w:rPr>
        <w:t>Ability to undertake studies in challenging environments</w:t>
      </w:r>
    </w:p>
    <w:p w14:paraId="6CDD6EC2" w14:textId="036B344F" w:rsidR="00FC125A" w:rsidRDefault="00FC125A" w:rsidP="00A6428D">
      <w:pPr>
        <w:pStyle w:val="ListParagraph"/>
        <w:numPr>
          <w:ilvl w:val="0"/>
          <w:numId w:val="6"/>
        </w:numPr>
        <w:spacing w:line="259" w:lineRule="auto"/>
        <w:jc w:val="both"/>
        <w:rPr>
          <w:rFonts w:cs="Calibri"/>
          <w:szCs w:val="18"/>
        </w:rPr>
      </w:pPr>
      <w:r w:rsidRPr="00FC125A">
        <w:rPr>
          <w:rFonts w:cs="Calibri"/>
          <w:szCs w:val="18"/>
        </w:rPr>
        <w:t>Must be digital and technological savvy</w:t>
      </w:r>
    </w:p>
    <w:p w14:paraId="42C26808" w14:textId="77777777" w:rsidR="003B7277" w:rsidRPr="003B7277" w:rsidRDefault="003B7277" w:rsidP="003B7277">
      <w:pPr>
        <w:pStyle w:val="ListParagraph"/>
        <w:spacing w:line="259" w:lineRule="auto"/>
        <w:jc w:val="both"/>
        <w:rPr>
          <w:rFonts w:cs="Calibri"/>
          <w:szCs w:val="18"/>
        </w:rPr>
      </w:pPr>
    </w:p>
    <w:p w14:paraId="05EEF37A" w14:textId="371DD0A0" w:rsidR="00FC125A" w:rsidRDefault="00FC125A" w:rsidP="00FC125A">
      <w:pPr>
        <w:jc w:val="both"/>
        <w:rPr>
          <w:rFonts w:cs="Calibri"/>
          <w:b/>
          <w:bCs/>
          <w:color w:val="00B0F0"/>
        </w:rPr>
      </w:pPr>
      <w:r w:rsidRPr="00AE571D">
        <w:rPr>
          <w:rFonts w:cs="Calibri"/>
          <w:b/>
          <w:bCs/>
        </w:rPr>
        <w:t xml:space="preserve">   </w:t>
      </w:r>
      <w:bookmarkStart w:id="19" w:name="_Hlk119591752"/>
      <w:r w:rsidRPr="00FC125A">
        <w:rPr>
          <w:rFonts w:cs="Calibri"/>
          <w:b/>
          <w:bCs/>
          <w:color w:val="00B0F0"/>
        </w:rPr>
        <w:t>9.0   Requisite documentation for the consult</w:t>
      </w:r>
      <w:r>
        <w:rPr>
          <w:rFonts w:cs="Calibri"/>
          <w:b/>
          <w:bCs/>
          <w:color w:val="00B0F0"/>
        </w:rPr>
        <w:t>ing firm</w:t>
      </w:r>
    </w:p>
    <w:bookmarkEnd w:id="19"/>
    <w:p w14:paraId="0DD95C2D" w14:textId="77777777" w:rsidR="003B7277" w:rsidRPr="00FC125A" w:rsidRDefault="003B7277" w:rsidP="00FC125A">
      <w:pPr>
        <w:jc w:val="both"/>
        <w:rPr>
          <w:rFonts w:cs="Calibri"/>
          <w:color w:val="00B0F0"/>
        </w:rPr>
      </w:pPr>
    </w:p>
    <w:p w14:paraId="3AFF517C" w14:textId="2BE5AF7C" w:rsidR="00FC125A" w:rsidRPr="003B7277" w:rsidRDefault="00FC125A" w:rsidP="00A6428D">
      <w:pPr>
        <w:pStyle w:val="ListParagraph"/>
        <w:numPr>
          <w:ilvl w:val="0"/>
          <w:numId w:val="8"/>
        </w:numPr>
        <w:spacing w:line="259" w:lineRule="auto"/>
        <w:jc w:val="both"/>
        <w:rPr>
          <w:rFonts w:cs="Calibri"/>
          <w:szCs w:val="18"/>
        </w:rPr>
      </w:pPr>
      <w:r w:rsidRPr="003B7277">
        <w:rPr>
          <w:rFonts w:cs="Calibri"/>
          <w:szCs w:val="18"/>
        </w:rPr>
        <w:t>Company Legal registration documents (certificate of registration/ incorporation)</w:t>
      </w:r>
    </w:p>
    <w:p w14:paraId="6FE5C46E" w14:textId="355D607A" w:rsidR="00FC125A" w:rsidRPr="003B7277" w:rsidRDefault="00FC125A" w:rsidP="00A6428D">
      <w:pPr>
        <w:pStyle w:val="ListParagraph"/>
        <w:numPr>
          <w:ilvl w:val="0"/>
          <w:numId w:val="8"/>
        </w:numPr>
        <w:spacing w:line="259" w:lineRule="auto"/>
        <w:jc w:val="both"/>
        <w:rPr>
          <w:rFonts w:cs="Calibri"/>
          <w:szCs w:val="18"/>
        </w:rPr>
      </w:pPr>
      <w:r w:rsidRPr="003B7277">
        <w:rPr>
          <w:rFonts w:cs="Calibri"/>
          <w:szCs w:val="18"/>
        </w:rPr>
        <w:t>Tax Compliance Certificate addressed to SNV</w:t>
      </w:r>
    </w:p>
    <w:p w14:paraId="5CADAD9D" w14:textId="77777777" w:rsidR="00FC125A" w:rsidRPr="003B7277" w:rsidRDefault="00FC125A" w:rsidP="00A6428D">
      <w:pPr>
        <w:pStyle w:val="ListParagraph"/>
        <w:numPr>
          <w:ilvl w:val="0"/>
          <w:numId w:val="8"/>
        </w:numPr>
        <w:spacing w:line="259" w:lineRule="auto"/>
        <w:jc w:val="both"/>
        <w:rPr>
          <w:rFonts w:cs="Calibri"/>
          <w:szCs w:val="18"/>
        </w:rPr>
      </w:pPr>
      <w:r w:rsidRPr="003B7277">
        <w:rPr>
          <w:rFonts w:cs="Calibri"/>
          <w:szCs w:val="18"/>
        </w:rPr>
        <w:t>Company profile</w:t>
      </w:r>
    </w:p>
    <w:p w14:paraId="0DEA5168" w14:textId="33DFB47F" w:rsidR="00FC125A" w:rsidRPr="003B7277" w:rsidRDefault="00FC125A" w:rsidP="00A6428D">
      <w:pPr>
        <w:pStyle w:val="ListParagraph"/>
        <w:numPr>
          <w:ilvl w:val="0"/>
          <w:numId w:val="8"/>
        </w:numPr>
        <w:spacing w:line="259" w:lineRule="auto"/>
        <w:jc w:val="both"/>
        <w:rPr>
          <w:rFonts w:cs="Calibri"/>
          <w:szCs w:val="18"/>
        </w:rPr>
      </w:pPr>
      <w:r w:rsidRPr="003B7277">
        <w:rPr>
          <w:rFonts w:cs="Calibri"/>
          <w:szCs w:val="18"/>
        </w:rPr>
        <w:t>CVs of all the proposed staff for the assignment</w:t>
      </w:r>
      <w:r w:rsidR="003B7277" w:rsidRPr="003B7277">
        <w:rPr>
          <w:rFonts w:cs="Calibri"/>
          <w:szCs w:val="18"/>
        </w:rPr>
        <w:t xml:space="preserve"> including roles they will undertake.</w:t>
      </w:r>
    </w:p>
    <w:p w14:paraId="7141AF70" w14:textId="0D12A098" w:rsidR="00FC125A" w:rsidRDefault="00FC125A" w:rsidP="00A6428D">
      <w:pPr>
        <w:pStyle w:val="ListParagraph"/>
        <w:numPr>
          <w:ilvl w:val="0"/>
          <w:numId w:val="8"/>
        </w:numPr>
        <w:spacing w:line="259" w:lineRule="auto"/>
        <w:jc w:val="both"/>
        <w:rPr>
          <w:rFonts w:cs="Calibri"/>
          <w:szCs w:val="18"/>
        </w:rPr>
      </w:pPr>
      <w:r w:rsidRPr="003B7277">
        <w:rPr>
          <w:rFonts w:cs="Calibri"/>
          <w:szCs w:val="18"/>
        </w:rPr>
        <w:t>References for earlier similar assignments undertaken</w:t>
      </w:r>
      <w:r w:rsidR="003B7277" w:rsidRPr="003B7277">
        <w:rPr>
          <w:rFonts w:cs="Calibri"/>
          <w:szCs w:val="18"/>
        </w:rPr>
        <w:t xml:space="preserve"> with contact details</w:t>
      </w:r>
    </w:p>
    <w:p w14:paraId="1EA7A6AF" w14:textId="7B53DC57" w:rsidR="003B7277" w:rsidRDefault="003B7277" w:rsidP="003B7277">
      <w:pPr>
        <w:spacing w:line="259" w:lineRule="auto"/>
        <w:jc w:val="both"/>
        <w:rPr>
          <w:rFonts w:cs="Calibri"/>
          <w:szCs w:val="18"/>
        </w:rPr>
      </w:pPr>
    </w:p>
    <w:p w14:paraId="6DC37A09" w14:textId="7F2ECE96" w:rsidR="003B7277" w:rsidRDefault="003B7277" w:rsidP="003B7277">
      <w:pPr>
        <w:jc w:val="both"/>
        <w:rPr>
          <w:rFonts w:cs="Calibri"/>
          <w:b/>
          <w:bCs/>
          <w:color w:val="00B0F0"/>
        </w:rPr>
      </w:pPr>
      <w:r>
        <w:rPr>
          <w:rFonts w:cs="Calibri"/>
          <w:b/>
          <w:bCs/>
          <w:color w:val="00B0F0"/>
        </w:rPr>
        <w:t xml:space="preserve">   </w:t>
      </w:r>
      <w:r w:rsidRPr="00FC125A">
        <w:rPr>
          <w:rFonts w:cs="Calibri"/>
          <w:b/>
          <w:bCs/>
          <w:color w:val="00B0F0"/>
        </w:rPr>
        <w:t>9.</w:t>
      </w:r>
      <w:r>
        <w:rPr>
          <w:rFonts w:cs="Calibri"/>
          <w:b/>
          <w:bCs/>
          <w:color w:val="00B0F0"/>
        </w:rPr>
        <w:t>1</w:t>
      </w:r>
      <w:r w:rsidRPr="00FC125A">
        <w:rPr>
          <w:rFonts w:cs="Calibri"/>
          <w:b/>
          <w:bCs/>
          <w:color w:val="00B0F0"/>
        </w:rPr>
        <w:t xml:space="preserve">   Requisite documentation for </w:t>
      </w:r>
      <w:r>
        <w:rPr>
          <w:rFonts w:cs="Calibri"/>
          <w:b/>
          <w:bCs/>
          <w:color w:val="00B0F0"/>
        </w:rPr>
        <w:t>individuals</w:t>
      </w:r>
    </w:p>
    <w:p w14:paraId="41B84707" w14:textId="12299107" w:rsidR="003B7277" w:rsidRDefault="003B7277" w:rsidP="003B7277">
      <w:pPr>
        <w:pStyle w:val="ListParagraph"/>
        <w:jc w:val="both"/>
        <w:rPr>
          <w:rFonts w:cs="Calibri"/>
          <w:b/>
          <w:bCs/>
          <w:color w:val="00B0F0"/>
        </w:rPr>
      </w:pPr>
      <w:r>
        <w:rPr>
          <w:rFonts w:cs="Calibri"/>
          <w:b/>
          <w:bCs/>
          <w:color w:val="00B0F0"/>
        </w:rPr>
        <w:t xml:space="preserve">Detailed </w:t>
      </w:r>
      <w:proofErr w:type="spellStart"/>
      <w:proofErr w:type="gramStart"/>
      <w:r>
        <w:rPr>
          <w:rFonts w:cs="Calibri"/>
          <w:b/>
          <w:bCs/>
          <w:color w:val="00B0F0"/>
        </w:rPr>
        <w:t>C.v’s</w:t>
      </w:r>
      <w:proofErr w:type="spellEnd"/>
      <w:proofErr w:type="gramEnd"/>
      <w:r>
        <w:rPr>
          <w:rFonts w:cs="Calibri"/>
          <w:b/>
          <w:bCs/>
          <w:color w:val="00B0F0"/>
        </w:rPr>
        <w:t xml:space="preserve"> the following</w:t>
      </w:r>
    </w:p>
    <w:p w14:paraId="5FAD6B38" w14:textId="4BA72244" w:rsidR="003B7277" w:rsidRPr="003B7277" w:rsidRDefault="003B7277" w:rsidP="00A6428D">
      <w:pPr>
        <w:pStyle w:val="ListParagraph"/>
        <w:numPr>
          <w:ilvl w:val="0"/>
          <w:numId w:val="11"/>
        </w:numPr>
        <w:jc w:val="both"/>
        <w:rPr>
          <w:rFonts w:cs="Calibri"/>
        </w:rPr>
      </w:pPr>
      <w:r w:rsidRPr="003B7277">
        <w:rPr>
          <w:rFonts w:cs="Calibri"/>
        </w:rPr>
        <w:t xml:space="preserve">Education </w:t>
      </w:r>
      <w:r w:rsidR="007C0636" w:rsidRPr="003B7277">
        <w:rPr>
          <w:rFonts w:cs="Calibri"/>
        </w:rPr>
        <w:t>background</w:t>
      </w:r>
      <w:r w:rsidRPr="003B7277">
        <w:rPr>
          <w:rFonts w:cs="Calibri"/>
        </w:rPr>
        <w:t xml:space="preserve"> and qualification in relevant field as shown in 8.1</w:t>
      </w:r>
    </w:p>
    <w:p w14:paraId="1CE446FA" w14:textId="69D87304" w:rsidR="003B7277" w:rsidRPr="003B7277" w:rsidRDefault="003B7277" w:rsidP="00A6428D">
      <w:pPr>
        <w:pStyle w:val="ListParagraph"/>
        <w:numPr>
          <w:ilvl w:val="0"/>
          <w:numId w:val="11"/>
        </w:numPr>
        <w:jc w:val="both"/>
        <w:rPr>
          <w:rFonts w:cs="Calibri"/>
        </w:rPr>
      </w:pPr>
      <w:r w:rsidRPr="003B7277">
        <w:rPr>
          <w:rFonts w:cs="Calibri"/>
        </w:rPr>
        <w:t>Professional experience in gender related assignments including formulating of GESI strategies and policies</w:t>
      </w:r>
    </w:p>
    <w:p w14:paraId="2FC157AA" w14:textId="042426E4" w:rsidR="003B7277" w:rsidRPr="003B7277" w:rsidRDefault="003B7277" w:rsidP="00A6428D">
      <w:pPr>
        <w:pStyle w:val="ListParagraph"/>
        <w:numPr>
          <w:ilvl w:val="0"/>
          <w:numId w:val="11"/>
        </w:numPr>
        <w:jc w:val="both"/>
        <w:rPr>
          <w:rFonts w:cs="Calibri"/>
        </w:rPr>
      </w:pPr>
      <w:r w:rsidRPr="003B7277">
        <w:rPr>
          <w:rFonts w:cs="Calibri"/>
        </w:rPr>
        <w:t>Similar GESI assignments completed including contact details for reference purposes.</w:t>
      </w:r>
    </w:p>
    <w:p w14:paraId="79F49DD7" w14:textId="12905B25" w:rsidR="003B7277" w:rsidRPr="003B7277" w:rsidRDefault="003B7277" w:rsidP="00A6428D">
      <w:pPr>
        <w:pStyle w:val="ListParagraph"/>
        <w:numPr>
          <w:ilvl w:val="0"/>
          <w:numId w:val="11"/>
        </w:numPr>
        <w:jc w:val="both"/>
        <w:rPr>
          <w:rFonts w:cs="Calibri"/>
        </w:rPr>
      </w:pPr>
      <w:r w:rsidRPr="003B7277">
        <w:rPr>
          <w:rFonts w:cs="Calibri"/>
        </w:rPr>
        <w:t>If a team of individual consultants is proposed, there must be different roles for each proposed consultant.</w:t>
      </w:r>
    </w:p>
    <w:p w14:paraId="5B38DFC7" w14:textId="77777777" w:rsidR="003B7277" w:rsidRPr="003B7277" w:rsidRDefault="003B7277" w:rsidP="003B7277">
      <w:pPr>
        <w:spacing w:line="259" w:lineRule="auto"/>
        <w:jc w:val="both"/>
        <w:rPr>
          <w:rFonts w:cs="Calibri"/>
          <w:szCs w:val="18"/>
        </w:rPr>
      </w:pPr>
    </w:p>
    <w:p w14:paraId="7FF43F6A" w14:textId="77777777" w:rsidR="00FC125A" w:rsidRPr="00AE571D" w:rsidRDefault="00FC125A" w:rsidP="00FC125A">
      <w:pPr>
        <w:jc w:val="both"/>
        <w:rPr>
          <w:rFonts w:cs="Calibri"/>
        </w:rPr>
      </w:pPr>
    </w:p>
    <w:p w14:paraId="5831BCB8" w14:textId="7DED20DC" w:rsidR="00FC125A" w:rsidRPr="003B7277" w:rsidRDefault="003B7277" w:rsidP="00FC125A">
      <w:pPr>
        <w:jc w:val="both"/>
        <w:rPr>
          <w:rFonts w:cs="Calibri"/>
          <w:b/>
          <w:bCs/>
          <w:color w:val="00B0F0"/>
        </w:rPr>
      </w:pPr>
      <w:r w:rsidRPr="003B7277">
        <w:rPr>
          <w:rFonts w:cs="Calibri"/>
          <w:b/>
          <w:bCs/>
          <w:color w:val="00B0F0"/>
        </w:rPr>
        <w:t>10</w:t>
      </w:r>
      <w:r w:rsidR="00FC125A" w:rsidRPr="003B7277">
        <w:rPr>
          <w:rFonts w:cs="Calibri"/>
          <w:b/>
          <w:bCs/>
          <w:color w:val="00B0F0"/>
        </w:rPr>
        <w:t>.0 Timeline, Contracting and Proposed payment terms</w:t>
      </w:r>
    </w:p>
    <w:p w14:paraId="0721B863" w14:textId="77777777" w:rsidR="00FC125A" w:rsidRPr="00AE571D" w:rsidRDefault="00FC125A" w:rsidP="00FC125A">
      <w:pPr>
        <w:jc w:val="both"/>
        <w:rPr>
          <w:rFonts w:cs="Calibri"/>
          <w:b/>
          <w:bCs/>
        </w:rPr>
      </w:pPr>
    </w:p>
    <w:p w14:paraId="33AB63C4" w14:textId="77777777" w:rsidR="00FC125A" w:rsidRPr="00AE571D" w:rsidRDefault="00FC125A" w:rsidP="00FC125A">
      <w:pPr>
        <w:jc w:val="both"/>
        <w:rPr>
          <w:rFonts w:cs="Calibri"/>
        </w:rPr>
      </w:pPr>
      <w:r w:rsidRPr="00AE571D">
        <w:rPr>
          <w:rFonts w:cs="Calibri"/>
        </w:rPr>
        <w:t>The assignment is expected to be undertaken within 4</w:t>
      </w:r>
      <w:r>
        <w:rPr>
          <w:rFonts w:cs="Calibri"/>
        </w:rPr>
        <w:t>0</w:t>
      </w:r>
      <w:r w:rsidRPr="00AE571D">
        <w:rPr>
          <w:rFonts w:cs="Calibri"/>
          <w:b/>
          <w:bCs/>
        </w:rPr>
        <w:t xml:space="preserve"> </w:t>
      </w:r>
      <w:r w:rsidRPr="00AE571D">
        <w:rPr>
          <w:rFonts w:cs="Calibri"/>
        </w:rPr>
        <w:t>days.  The contract shall be a fixed term with all the key activities and deliverables paid based on the value for money offering agreed during negotiation. The proposed payment terms are based on specific quality approved deliverables.</w:t>
      </w:r>
    </w:p>
    <w:p w14:paraId="511F19B6" w14:textId="77777777" w:rsidR="00FC125A" w:rsidRPr="00AE571D" w:rsidRDefault="00FC125A" w:rsidP="00FC125A">
      <w:pPr>
        <w:jc w:val="both"/>
        <w:rPr>
          <w:rFonts w:cs="Calibri"/>
        </w:rPr>
      </w:pPr>
    </w:p>
    <w:p w14:paraId="312A4E35" w14:textId="77777777" w:rsidR="00FC125A" w:rsidRPr="003B7277" w:rsidRDefault="00FC125A" w:rsidP="00A6428D">
      <w:pPr>
        <w:pStyle w:val="ListParagraph"/>
        <w:numPr>
          <w:ilvl w:val="0"/>
          <w:numId w:val="7"/>
        </w:numPr>
        <w:spacing w:line="259" w:lineRule="auto"/>
        <w:jc w:val="both"/>
        <w:rPr>
          <w:rFonts w:cs="Calibri"/>
          <w:szCs w:val="18"/>
        </w:rPr>
      </w:pPr>
      <w:r w:rsidRPr="003B7277">
        <w:rPr>
          <w:rFonts w:cs="Calibri"/>
          <w:szCs w:val="18"/>
        </w:rPr>
        <w:t>40% based on an approved inception report and study tools</w:t>
      </w:r>
    </w:p>
    <w:p w14:paraId="3F072118" w14:textId="77777777" w:rsidR="00FC125A" w:rsidRPr="003B7277" w:rsidRDefault="00FC125A" w:rsidP="00A6428D">
      <w:pPr>
        <w:pStyle w:val="ListParagraph"/>
        <w:numPr>
          <w:ilvl w:val="0"/>
          <w:numId w:val="7"/>
        </w:numPr>
        <w:spacing w:line="259" w:lineRule="auto"/>
        <w:jc w:val="both"/>
        <w:rPr>
          <w:rFonts w:cs="Calibri"/>
          <w:szCs w:val="18"/>
        </w:rPr>
      </w:pPr>
      <w:r w:rsidRPr="003B7277">
        <w:rPr>
          <w:rFonts w:cs="Calibri"/>
          <w:szCs w:val="18"/>
        </w:rPr>
        <w:t>60% based on an approved Final GESI strategy and Action plan.</w:t>
      </w:r>
    </w:p>
    <w:p w14:paraId="4F84FED3" w14:textId="77777777" w:rsidR="00B405C9" w:rsidRPr="00D42862" w:rsidRDefault="00B405C9" w:rsidP="00BA3435">
      <w:pPr>
        <w:pStyle w:val="NormalWeb"/>
        <w:spacing w:before="0" w:beforeAutospacing="0" w:after="0" w:afterAutospacing="0"/>
        <w:jc w:val="both"/>
        <w:rPr>
          <w:szCs w:val="18"/>
          <w:lang w:val="en-GB"/>
        </w:rPr>
      </w:pPr>
    </w:p>
    <w:p w14:paraId="2450E99B" w14:textId="77777777" w:rsidR="00A6428D" w:rsidRDefault="00A6428D" w:rsidP="00A6428D">
      <w:pPr>
        <w:jc w:val="both"/>
        <w:rPr>
          <w:rFonts w:cs="Calibri"/>
          <w:b/>
          <w:bCs/>
          <w:color w:val="00B0F0"/>
        </w:rPr>
      </w:pPr>
    </w:p>
    <w:p w14:paraId="64A40729" w14:textId="77777777" w:rsidR="00A6428D" w:rsidRDefault="00A6428D" w:rsidP="00A6428D">
      <w:pPr>
        <w:jc w:val="both"/>
        <w:rPr>
          <w:rFonts w:cs="Calibri"/>
          <w:b/>
          <w:bCs/>
          <w:color w:val="00B0F0"/>
        </w:rPr>
      </w:pPr>
    </w:p>
    <w:p w14:paraId="1E217025" w14:textId="77777777" w:rsidR="00A6428D" w:rsidRDefault="00A6428D" w:rsidP="00A6428D">
      <w:pPr>
        <w:jc w:val="both"/>
        <w:rPr>
          <w:rFonts w:cs="Calibri"/>
          <w:b/>
          <w:bCs/>
          <w:color w:val="00B0F0"/>
        </w:rPr>
      </w:pPr>
    </w:p>
    <w:p w14:paraId="1264EBF6" w14:textId="77777777" w:rsidR="00A6428D" w:rsidRDefault="00A6428D" w:rsidP="00A6428D">
      <w:pPr>
        <w:jc w:val="both"/>
        <w:rPr>
          <w:rFonts w:cs="Calibri"/>
          <w:b/>
          <w:bCs/>
          <w:color w:val="00B0F0"/>
        </w:rPr>
      </w:pPr>
    </w:p>
    <w:p w14:paraId="227D3E49" w14:textId="77777777" w:rsidR="00A6428D" w:rsidRDefault="00A6428D" w:rsidP="00A6428D">
      <w:pPr>
        <w:jc w:val="both"/>
        <w:rPr>
          <w:rFonts w:cs="Calibri"/>
          <w:b/>
          <w:bCs/>
          <w:color w:val="00B0F0"/>
        </w:rPr>
      </w:pPr>
    </w:p>
    <w:p w14:paraId="443BF49B" w14:textId="77777777" w:rsidR="00A6428D" w:rsidRDefault="00A6428D" w:rsidP="00A6428D">
      <w:pPr>
        <w:jc w:val="both"/>
        <w:rPr>
          <w:rFonts w:cs="Calibri"/>
          <w:b/>
          <w:bCs/>
          <w:color w:val="00B0F0"/>
        </w:rPr>
      </w:pPr>
    </w:p>
    <w:p w14:paraId="7733B765" w14:textId="39CB384F" w:rsidR="00A6428D" w:rsidRPr="00A6428D" w:rsidRDefault="00A6428D" w:rsidP="00A6428D">
      <w:pPr>
        <w:jc w:val="both"/>
        <w:rPr>
          <w:rFonts w:cs="Calibri"/>
          <w:b/>
          <w:bCs/>
          <w:color w:val="00B0F0"/>
        </w:rPr>
      </w:pPr>
      <w:r w:rsidRPr="00A6428D">
        <w:rPr>
          <w:rFonts w:cs="Calibri"/>
          <w:b/>
          <w:bCs/>
          <w:color w:val="00B0F0"/>
        </w:rPr>
        <w:lastRenderedPageBreak/>
        <w:t>1</w:t>
      </w:r>
      <w:r>
        <w:rPr>
          <w:rFonts w:cs="Calibri"/>
          <w:b/>
          <w:bCs/>
          <w:color w:val="00B0F0"/>
        </w:rPr>
        <w:t>1</w:t>
      </w:r>
      <w:r w:rsidRPr="00A6428D">
        <w:rPr>
          <w:rFonts w:cs="Calibri"/>
          <w:b/>
          <w:bCs/>
          <w:color w:val="00B0F0"/>
        </w:rPr>
        <w:t>.0 Evaluation Criteria</w:t>
      </w:r>
    </w:p>
    <w:p w14:paraId="160F8DB6" w14:textId="77777777" w:rsidR="00A6428D" w:rsidRPr="00AE571D" w:rsidRDefault="00A6428D" w:rsidP="00A6428D">
      <w:pPr>
        <w:jc w:val="both"/>
        <w:rPr>
          <w:rFonts w:cs="Calibri"/>
        </w:rPr>
      </w:pPr>
      <w:r w:rsidRPr="00AE571D">
        <w:rPr>
          <w:rFonts w:cs="Calibri"/>
        </w:rPr>
        <w:t>The procurement evaluation committee shall duly evaluate all technical and financial proposals as per submission deadline for the bids. This shall follow the overarching criteria below.</w:t>
      </w:r>
    </w:p>
    <w:p w14:paraId="6DBC47DF" w14:textId="77777777" w:rsidR="00A6428D" w:rsidRPr="00AE571D" w:rsidRDefault="00A6428D" w:rsidP="00A6428D">
      <w:pPr>
        <w:jc w:val="both"/>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5023"/>
        <w:gridCol w:w="3005"/>
      </w:tblGrid>
      <w:tr w:rsidR="00A6428D" w:rsidRPr="00AE571D" w14:paraId="05536551" w14:textId="77777777" w:rsidTr="00B92D09">
        <w:tc>
          <w:tcPr>
            <w:tcW w:w="988" w:type="dxa"/>
            <w:shd w:val="clear" w:color="auto" w:fill="FFFFFF"/>
          </w:tcPr>
          <w:p w14:paraId="6B1E1E29" w14:textId="77777777" w:rsidR="00A6428D" w:rsidRPr="00AE571D" w:rsidRDefault="00A6428D" w:rsidP="00B92D09">
            <w:pPr>
              <w:jc w:val="both"/>
              <w:rPr>
                <w:rFonts w:cs="Calibri"/>
                <w:b/>
                <w:bCs/>
              </w:rPr>
            </w:pPr>
          </w:p>
        </w:tc>
        <w:tc>
          <w:tcPr>
            <w:tcW w:w="5053" w:type="dxa"/>
            <w:shd w:val="clear" w:color="auto" w:fill="FFFFFF"/>
          </w:tcPr>
          <w:p w14:paraId="7D77F750" w14:textId="77777777" w:rsidR="00A6428D" w:rsidRPr="00AE571D" w:rsidRDefault="00A6428D" w:rsidP="00B92D09">
            <w:pPr>
              <w:jc w:val="both"/>
              <w:rPr>
                <w:rFonts w:cs="Calibri"/>
                <w:b/>
                <w:bCs/>
              </w:rPr>
            </w:pPr>
            <w:r w:rsidRPr="00AE571D">
              <w:rPr>
                <w:rFonts w:cs="Calibri"/>
                <w:b/>
                <w:bCs/>
              </w:rPr>
              <w:t>Aspect</w:t>
            </w:r>
          </w:p>
        </w:tc>
        <w:tc>
          <w:tcPr>
            <w:tcW w:w="3021" w:type="dxa"/>
            <w:shd w:val="clear" w:color="auto" w:fill="FFFFFF"/>
          </w:tcPr>
          <w:p w14:paraId="7E57B1F8" w14:textId="77777777" w:rsidR="00A6428D" w:rsidRPr="00AE571D" w:rsidRDefault="00A6428D" w:rsidP="00B92D09">
            <w:pPr>
              <w:jc w:val="both"/>
              <w:rPr>
                <w:rFonts w:cs="Calibri"/>
                <w:b/>
                <w:bCs/>
              </w:rPr>
            </w:pPr>
            <w:r w:rsidRPr="00AE571D">
              <w:rPr>
                <w:rFonts w:cs="Calibri"/>
                <w:b/>
                <w:bCs/>
              </w:rPr>
              <w:t>Weighting score</w:t>
            </w:r>
          </w:p>
        </w:tc>
      </w:tr>
      <w:tr w:rsidR="00A6428D" w:rsidRPr="00AE571D" w14:paraId="77EE2CE8" w14:textId="77777777" w:rsidTr="00B92D09">
        <w:tc>
          <w:tcPr>
            <w:tcW w:w="988" w:type="dxa"/>
            <w:shd w:val="clear" w:color="auto" w:fill="FFFFFF"/>
          </w:tcPr>
          <w:p w14:paraId="6B628F64" w14:textId="77777777" w:rsidR="00A6428D" w:rsidRPr="00AE571D" w:rsidRDefault="00A6428D" w:rsidP="00B92D09">
            <w:pPr>
              <w:jc w:val="both"/>
              <w:rPr>
                <w:rFonts w:cs="Calibri"/>
                <w:b/>
                <w:bCs/>
              </w:rPr>
            </w:pPr>
            <w:r w:rsidRPr="00AE571D">
              <w:rPr>
                <w:rFonts w:cs="Calibri"/>
                <w:b/>
                <w:bCs/>
              </w:rPr>
              <w:t>1</w:t>
            </w:r>
          </w:p>
        </w:tc>
        <w:tc>
          <w:tcPr>
            <w:tcW w:w="5053" w:type="dxa"/>
            <w:shd w:val="clear" w:color="auto" w:fill="FFFFFF"/>
          </w:tcPr>
          <w:p w14:paraId="3F23EDA8" w14:textId="77777777" w:rsidR="00A6428D" w:rsidRPr="00AE571D" w:rsidRDefault="00A6428D" w:rsidP="00B92D09">
            <w:pPr>
              <w:jc w:val="both"/>
              <w:rPr>
                <w:rFonts w:cs="Calibri"/>
                <w:b/>
                <w:bCs/>
              </w:rPr>
            </w:pPr>
            <w:r w:rsidRPr="00AE571D">
              <w:rPr>
                <w:rFonts w:cs="Calibri"/>
                <w:b/>
                <w:bCs/>
              </w:rPr>
              <w:t>Administrative</w:t>
            </w:r>
          </w:p>
          <w:p w14:paraId="60612976" w14:textId="77777777" w:rsidR="00A6428D" w:rsidRPr="00AE571D" w:rsidRDefault="00A6428D" w:rsidP="00B92D09">
            <w:pPr>
              <w:jc w:val="both"/>
              <w:rPr>
                <w:rFonts w:cs="Calibri"/>
              </w:rPr>
            </w:pPr>
            <w:r w:rsidRPr="00AE571D">
              <w:rPr>
                <w:rFonts w:cs="Calibri"/>
              </w:rPr>
              <w:t>Compliance with legal registration and tax requirements</w:t>
            </w:r>
          </w:p>
          <w:p w14:paraId="0A806F22" w14:textId="77777777" w:rsidR="00A6428D" w:rsidRPr="00AE571D" w:rsidRDefault="00A6428D" w:rsidP="00B92D09">
            <w:pPr>
              <w:jc w:val="both"/>
              <w:rPr>
                <w:rFonts w:cs="Calibri"/>
                <w:b/>
                <w:bCs/>
              </w:rPr>
            </w:pPr>
          </w:p>
        </w:tc>
        <w:tc>
          <w:tcPr>
            <w:tcW w:w="3021" w:type="dxa"/>
            <w:shd w:val="clear" w:color="auto" w:fill="FFFFFF"/>
          </w:tcPr>
          <w:p w14:paraId="7C3427F7" w14:textId="77777777" w:rsidR="00A6428D" w:rsidRPr="00AE571D" w:rsidRDefault="00A6428D" w:rsidP="00B92D09">
            <w:pPr>
              <w:jc w:val="both"/>
              <w:rPr>
                <w:rFonts w:cs="Calibri"/>
                <w:b/>
                <w:bCs/>
              </w:rPr>
            </w:pPr>
            <w:r w:rsidRPr="00AE571D">
              <w:rPr>
                <w:rFonts w:cs="Calibri"/>
                <w:b/>
                <w:bCs/>
              </w:rPr>
              <w:t>Pass/Fail</w:t>
            </w:r>
          </w:p>
        </w:tc>
      </w:tr>
      <w:tr w:rsidR="00A6428D" w:rsidRPr="00AE571D" w14:paraId="454A2DFF" w14:textId="77777777" w:rsidTr="00B92D09">
        <w:tc>
          <w:tcPr>
            <w:tcW w:w="988" w:type="dxa"/>
            <w:shd w:val="clear" w:color="auto" w:fill="FFFFFF"/>
          </w:tcPr>
          <w:p w14:paraId="073DBBFE" w14:textId="77777777" w:rsidR="00A6428D" w:rsidRPr="00AE571D" w:rsidRDefault="00A6428D" w:rsidP="00B92D09">
            <w:pPr>
              <w:jc w:val="both"/>
              <w:rPr>
                <w:rFonts w:cs="Calibri"/>
                <w:b/>
                <w:bCs/>
              </w:rPr>
            </w:pPr>
            <w:r w:rsidRPr="00AE571D">
              <w:rPr>
                <w:rFonts w:cs="Calibri"/>
                <w:b/>
                <w:bCs/>
              </w:rPr>
              <w:t>2</w:t>
            </w:r>
          </w:p>
        </w:tc>
        <w:tc>
          <w:tcPr>
            <w:tcW w:w="5053" w:type="dxa"/>
            <w:shd w:val="clear" w:color="auto" w:fill="FFFFFF"/>
          </w:tcPr>
          <w:p w14:paraId="6661AE8D" w14:textId="77777777" w:rsidR="00A6428D" w:rsidRPr="00AE571D" w:rsidRDefault="00A6428D" w:rsidP="00B92D09">
            <w:pPr>
              <w:rPr>
                <w:rFonts w:cs="Calibri"/>
                <w:b/>
                <w:bCs/>
              </w:rPr>
            </w:pPr>
            <w:r w:rsidRPr="00AE571D">
              <w:rPr>
                <w:rFonts w:cs="Calibri"/>
                <w:b/>
                <w:bCs/>
              </w:rPr>
              <w:t xml:space="preserve">Technical </w:t>
            </w:r>
          </w:p>
          <w:p w14:paraId="4C7248AA" w14:textId="77777777" w:rsidR="00A6428D" w:rsidRPr="00AE571D" w:rsidRDefault="00A6428D" w:rsidP="00B92D09">
            <w:pPr>
              <w:rPr>
                <w:rFonts w:cs="Calibri"/>
                <w:b/>
                <w:bCs/>
              </w:rPr>
            </w:pPr>
          </w:p>
        </w:tc>
        <w:tc>
          <w:tcPr>
            <w:tcW w:w="3021" w:type="dxa"/>
            <w:shd w:val="clear" w:color="auto" w:fill="FFFFFF"/>
          </w:tcPr>
          <w:p w14:paraId="575A7BBF" w14:textId="77777777" w:rsidR="00A6428D" w:rsidRPr="00AE571D" w:rsidRDefault="00A6428D" w:rsidP="00B92D09">
            <w:pPr>
              <w:jc w:val="both"/>
              <w:rPr>
                <w:rFonts w:cs="Calibri"/>
                <w:b/>
                <w:bCs/>
              </w:rPr>
            </w:pPr>
            <w:r w:rsidRPr="00AE571D">
              <w:rPr>
                <w:rFonts w:cs="Calibri"/>
                <w:b/>
                <w:bCs/>
              </w:rPr>
              <w:t>80%</w:t>
            </w:r>
          </w:p>
        </w:tc>
      </w:tr>
      <w:tr w:rsidR="00A6428D" w:rsidRPr="00AE571D" w14:paraId="50BBEA7F" w14:textId="77777777" w:rsidTr="00B92D09">
        <w:tc>
          <w:tcPr>
            <w:tcW w:w="988" w:type="dxa"/>
            <w:shd w:val="clear" w:color="auto" w:fill="FFFFFF"/>
          </w:tcPr>
          <w:p w14:paraId="49D360C9" w14:textId="77777777" w:rsidR="00A6428D" w:rsidRPr="00AE571D" w:rsidRDefault="00A6428D" w:rsidP="00B92D09">
            <w:pPr>
              <w:jc w:val="both"/>
              <w:rPr>
                <w:rFonts w:cs="Calibri"/>
                <w:b/>
                <w:bCs/>
              </w:rPr>
            </w:pPr>
            <w:r w:rsidRPr="00AE571D">
              <w:rPr>
                <w:rFonts w:cs="Calibri"/>
                <w:b/>
                <w:bCs/>
              </w:rPr>
              <w:t>3</w:t>
            </w:r>
          </w:p>
        </w:tc>
        <w:tc>
          <w:tcPr>
            <w:tcW w:w="5053" w:type="dxa"/>
            <w:shd w:val="clear" w:color="auto" w:fill="FFFFFF"/>
          </w:tcPr>
          <w:p w14:paraId="4D34CDFE" w14:textId="77777777" w:rsidR="00A6428D" w:rsidRPr="00AE571D" w:rsidRDefault="00A6428D" w:rsidP="00B92D09">
            <w:pPr>
              <w:rPr>
                <w:rFonts w:cs="Calibri"/>
                <w:b/>
                <w:bCs/>
              </w:rPr>
            </w:pPr>
            <w:r w:rsidRPr="00AE571D">
              <w:rPr>
                <w:rFonts w:cs="Calibri"/>
                <w:b/>
                <w:bCs/>
              </w:rPr>
              <w:t>Financial</w:t>
            </w:r>
          </w:p>
          <w:p w14:paraId="7DCF7458" w14:textId="77777777" w:rsidR="00A6428D" w:rsidRPr="00AE571D" w:rsidRDefault="00A6428D" w:rsidP="00B92D09">
            <w:pPr>
              <w:rPr>
                <w:rFonts w:cs="Calibri"/>
                <w:b/>
                <w:bCs/>
              </w:rPr>
            </w:pPr>
          </w:p>
        </w:tc>
        <w:tc>
          <w:tcPr>
            <w:tcW w:w="3021" w:type="dxa"/>
            <w:shd w:val="clear" w:color="auto" w:fill="FFFFFF"/>
          </w:tcPr>
          <w:p w14:paraId="1AAF4377" w14:textId="77777777" w:rsidR="00A6428D" w:rsidRPr="00AE571D" w:rsidRDefault="00A6428D" w:rsidP="00B92D09">
            <w:pPr>
              <w:jc w:val="both"/>
              <w:rPr>
                <w:rFonts w:cs="Calibri"/>
                <w:b/>
                <w:bCs/>
              </w:rPr>
            </w:pPr>
            <w:r w:rsidRPr="00AE571D">
              <w:rPr>
                <w:rFonts w:cs="Calibri"/>
                <w:b/>
                <w:bCs/>
              </w:rPr>
              <w:t>20%</w:t>
            </w:r>
          </w:p>
        </w:tc>
      </w:tr>
    </w:tbl>
    <w:p w14:paraId="648B3D36" w14:textId="4218C845" w:rsidR="00533A50" w:rsidRDefault="00533A50" w:rsidP="00BA3435">
      <w:pPr>
        <w:pStyle w:val="NormalWeb"/>
        <w:spacing w:before="0" w:beforeAutospacing="0" w:after="0" w:afterAutospacing="0"/>
        <w:jc w:val="both"/>
        <w:rPr>
          <w:szCs w:val="18"/>
          <w:lang w:val="en-GB"/>
        </w:rPr>
      </w:pPr>
    </w:p>
    <w:p w14:paraId="7B94C695" w14:textId="37111C4F" w:rsidR="003B7277" w:rsidRPr="003B7277" w:rsidRDefault="003B7277" w:rsidP="003B7277">
      <w:pPr>
        <w:jc w:val="both"/>
        <w:rPr>
          <w:rFonts w:cs="Calibri"/>
          <w:b/>
          <w:bCs/>
          <w:color w:val="00B0F0"/>
        </w:rPr>
      </w:pPr>
      <w:r w:rsidRPr="003B7277">
        <w:rPr>
          <w:rFonts w:cs="Calibri"/>
          <w:b/>
          <w:bCs/>
          <w:color w:val="00B0F0"/>
        </w:rPr>
        <w:t>1</w:t>
      </w:r>
      <w:r w:rsidR="00A6428D">
        <w:rPr>
          <w:rFonts w:cs="Calibri"/>
          <w:b/>
          <w:bCs/>
          <w:color w:val="00B0F0"/>
        </w:rPr>
        <w:t>2</w:t>
      </w:r>
      <w:r w:rsidRPr="003B7277">
        <w:rPr>
          <w:rFonts w:cs="Calibri"/>
          <w:b/>
          <w:bCs/>
          <w:color w:val="00B0F0"/>
        </w:rPr>
        <w:t>.0 Application process</w:t>
      </w:r>
    </w:p>
    <w:p w14:paraId="15932A82" w14:textId="77777777" w:rsidR="003B7277" w:rsidRPr="00AE571D" w:rsidRDefault="003B7277" w:rsidP="003B7277">
      <w:pPr>
        <w:jc w:val="both"/>
        <w:rPr>
          <w:rFonts w:cs="Calibri"/>
          <w:b/>
          <w:bCs/>
        </w:rPr>
      </w:pPr>
    </w:p>
    <w:p w14:paraId="49D271C0" w14:textId="5FE70535" w:rsidR="003B7277" w:rsidRPr="003B7277" w:rsidRDefault="003B7277" w:rsidP="003B7277">
      <w:pPr>
        <w:jc w:val="both"/>
        <w:rPr>
          <w:rFonts w:cs="Calibri"/>
          <w:b/>
          <w:bCs/>
          <w:color w:val="00B0F0"/>
        </w:rPr>
      </w:pPr>
      <w:r w:rsidRPr="003B7277">
        <w:rPr>
          <w:rFonts w:cs="Calibri"/>
          <w:b/>
          <w:bCs/>
          <w:color w:val="00B0F0"/>
        </w:rPr>
        <w:t>1</w:t>
      </w:r>
      <w:r w:rsidR="00A6428D">
        <w:rPr>
          <w:rFonts w:cs="Calibri"/>
          <w:b/>
          <w:bCs/>
          <w:color w:val="00B0F0"/>
        </w:rPr>
        <w:t>2</w:t>
      </w:r>
      <w:r w:rsidRPr="003B7277">
        <w:rPr>
          <w:rFonts w:cs="Calibri"/>
          <w:b/>
          <w:bCs/>
          <w:color w:val="00B0F0"/>
        </w:rPr>
        <w:t>.1 Submission of proposals</w:t>
      </w:r>
    </w:p>
    <w:p w14:paraId="2962B941" w14:textId="5C57C444" w:rsidR="003B7277" w:rsidRPr="00AE571D" w:rsidRDefault="003B7277" w:rsidP="003B7277">
      <w:pPr>
        <w:jc w:val="both"/>
        <w:rPr>
          <w:rFonts w:cs="Calibri"/>
        </w:rPr>
      </w:pPr>
      <w:r w:rsidRPr="00AE571D">
        <w:rPr>
          <w:rFonts w:cs="Calibri"/>
        </w:rPr>
        <w:t>Interested companies</w:t>
      </w:r>
      <w:r>
        <w:rPr>
          <w:rFonts w:cs="Calibri"/>
        </w:rPr>
        <w:t xml:space="preserve"> or individuals</w:t>
      </w:r>
      <w:r w:rsidRPr="00AE571D">
        <w:rPr>
          <w:rFonts w:cs="Calibri"/>
        </w:rPr>
        <w:t xml:space="preserve"> should send technical and financial proposals to SNV Netherlands Development Organization in soft copies via email:</w:t>
      </w:r>
      <w:r w:rsidRPr="00AE571D">
        <w:t xml:space="preserve"> </w:t>
      </w:r>
      <w:hyperlink r:id="rId13" w:history="1">
        <w:r w:rsidRPr="00AE571D">
          <w:rPr>
            <w:rStyle w:val="Hyperlink"/>
            <w:rFonts w:cs="Arial"/>
          </w:rPr>
          <w:t>ugandatenders@snv.org</w:t>
        </w:r>
      </w:hyperlink>
      <w:r>
        <w:rPr>
          <w:rFonts w:cs="Arial"/>
          <w:color w:val="0563C1"/>
          <w:u w:val="single"/>
        </w:rPr>
        <w:t xml:space="preserve"> </w:t>
      </w:r>
      <w:r w:rsidRPr="00AE571D">
        <w:rPr>
          <w:rFonts w:cs="Calibri"/>
        </w:rPr>
        <w:t xml:space="preserve">The subject should read: </w:t>
      </w:r>
      <w:r>
        <w:rPr>
          <w:rFonts w:cs="Calibri"/>
          <w:b/>
          <w:bCs/>
        </w:rPr>
        <w:t>GESI Consultancy - ISDAP</w:t>
      </w:r>
      <w:r w:rsidRPr="00AE571D">
        <w:rPr>
          <w:rFonts w:cs="Calibri"/>
        </w:rPr>
        <w:t xml:space="preserve">.  The technical proposals should include CVs of the key personnel as well as evidence of </w:t>
      </w:r>
      <w:r>
        <w:rPr>
          <w:rFonts w:cs="Calibri"/>
        </w:rPr>
        <w:t xml:space="preserve">GESI Assessments </w:t>
      </w:r>
      <w:r w:rsidRPr="00AE571D">
        <w:rPr>
          <w:rFonts w:cs="Calibri"/>
        </w:rPr>
        <w:t>undertaken.</w:t>
      </w:r>
      <w:r>
        <w:rPr>
          <w:rFonts w:cs="Calibri"/>
        </w:rPr>
        <w:t xml:space="preserve"> The Financial report should include the daily/hourly rates of the consultant (team), and if the rates are inclusive of any statutory payments. It should both professional fees and operational costs.</w:t>
      </w:r>
    </w:p>
    <w:p w14:paraId="4B69B8AC" w14:textId="77777777" w:rsidR="003B7277" w:rsidRPr="00AE571D" w:rsidRDefault="003B7277" w:rsidP="003B7277">
      <w:pPr>
        <w:jc w:val="both"/>
        <w:rPr>
          <w:rFonts w:cs="Calibri"/>
        </w:rPr>
      </w:pPr>
    </w:p>
    <w:p w14:paraId="31DE71F5" w14:textId="20C254A4" w:rsidR="003B7277" w:rsidRPr="003B7277" w:rsidRDefault="003B7277" w:rsidP="003B7277">
      <w:pPr>
        <w:jc w:val="both"/>
        <w:rPr>
          <w:rFonts w:cs="Calibri"/>
          <w:b/>
          <w:bCs/>
          <w:color w:val="00B0F0"/>
        </w:rPr>
      </w:pPr>
      <w:r w:rsidRPr="003B7277">
        <w:rPr>
          <w:rFonts w:cs="Calibri"/>
          <w:b/>
          <w:bCs/>
          <w:color w:val="00B0F0"/>
        </w:rPr>
        <w:t>1</w:t>
      </w:r>
      <w:r w:rsidR="00A6428D">
        <w:rPr>
          <w:rFonts w:cs="Calibri"/>
          <w:b/>
          <w:bCs/>
          <w:color w:val="00B0F0"/>
        </w:rPr>
        <w:t>2</w:t>
      </w:r>
      <w:r w:rsidRPr="003B7277">
        <w:rPr>
          <w:rFonts w:cs="Calibri"/>
          <w:b/>
          <w:bCs/>
          <w:color w:val="00B0F0"/>
        </w:rPr>
        <w:t>.2 Deadline for submissions</w:t>
      </w:r>
    </w:p>
    <w:p w14:paraId="03E22457" w14:textId="79EDE877" w:rsidR="003B7277" w:rsidRPr="00AE571D" w:rsidRDefault="003B7277" w:rsidP="003B7277">
      <w:pPr>
        <w:jc w:val="both"/>
        <w:rPr>
          <w:rFonts w:cs="Calibri"/>
        </w:rPr>
      </w:pPr>
      <w:r w:rsidRPr="00AE571D">
        <w:rPr>
          <w:rFonts w:cs="Calibri"/>
        </w:rPr>
        <w:t xml:space="preserve">All the applications should be sent not later than </w:t>
      </w:r>
      <w:r>
        <w:rPr>
          <w:rFonts w:cs="Calibri"/>
          <w:b/>
          <w:bCs/>
        </w:rPr>
        <w:t>1</w:t>
      </w:r>
      <w:r w:rsidRPr="003B7277">
        <w:rPr>
          <w:rFonts w:cs="Calibri"/>
          <w:b/>
          <w:bCs/>
          <w:vertAlign w:val="superscript"/>
        </w:rPr>
        <w:t>st</w:t>
      </w:r>
      <w:r>
        <w:rPr>
          <w:rFonts w:cs="Calibri"/>
          <w:b/>
          <w:bCs/>
        </w:rPr>
        <w:t xml:space="preserve"> December 2022</w:t>
      </w:r>
      <w:r w:rsidRPr="00AE571D">
        <w:rPr>
          <w:rFonts w:cs="Calibri"/>
          <w:b/>
          <w:bCs/>
        </w:rPr>
        <w:t xml:space="preserve"> at 5:00 pm</w:t>
      </w:r>
      <w:r>
        <w:rPr>
          <w:rFonts w:cs="Calibri"/>
          <w:b/>
          <w:bCs/>
        </w:rPr>
        <w:t xml:space="preserve"> East </w:t>
      </w:r>
      <w:r w:rsidR="00A6428D">
        <w:rPr>
          <w:rFonts w:cs="Calibri"/>
          <w:b/>
          <w:bCs/>
        </w:rPr>
        <w:t>African</w:t>
      </w:r>
      <w:r>
        <w:rPr>
          <w:rFonts w:cs="Calibri"/>
          <w:b/>
          <w:bCs/>
        </w:rPr>
        <w:t xml:space="preserve"> time</w:t>
      </w:r>
      <w:r w:rsidRPr="00AE571D">
        <w:rPr>
          <w:rFonts w:cs="Calibri"/>
        </w:rPr>
        <w:t>.</w:t>
      </w:r>
    </w:p>
    <w:p w14:paraId="1598CBFD" w14:textId="77777777" w:rsidR="003B7277" w:rsidRPr="00AE571D" w:rsidRDefault="003B7277" w:rsidP="003B7277">
      <w:pPr>
        <w:jc w:val="both"/>
        <w:rPr>
          <w:rFonts w:cs="Calibri"/>
        </w:rPr>
      </w:pPr>
    </w:p>
    <w:p w14:paraId="1C55B483" w14:textId="77777777" w:rsidR="003B7277" w:rsidRPr="00AE571D" w:rsidRDefault="003B7277" w:rsidP="003B7277">
      <w:pPr>
        <w:jc w:val="both"/>
        <w:rPr>
          <w:rFonts w:cs="Calibri"/>
          <w:b/>
          <w:bCs/>
        </w:rPr>
      </w:pPr>
    </w:p>
    <w:p w14:paraId="2D5C8C26" w14:textId="77777777" w:rsidR="00533A50" w:rsidRPr="00D42862" w:rsidRDefault="00533A50" w:rsidP="00BA3435">
      <w:pPr>
        <w:pStyle w:val="NormalWeb"/>
        <w:spacing w:before="0" w:beforeAutospacing="0" w:after="0" w:afterAutospacing="0"/>
        <w:jc w:val="both"/>
        <w:rPr>
          <w:szCs w:val="18"/>
        </w:rPr>
      </w:pPr>
    </w:p>
    <w:p w14:paraId="31C43C08" w14:textId="77777777" w:rsidR="00A6428D" w:rsidRPr="00281BCC" w:rsidRDefault="00A6428D" w:rsidP="00A6428D">
      <w:pPr>
        <w:spacing w:before="100" w:line="360" w:lineRule="auto"/>
        <w:rPr>
          <w:rFonts w:eastAsia="Calibri"/>
          <w:b/>
          <w:bCs/>
          <w:sz w:val="16"/>
          <w:szCs w:val="16"/>
        </w:rPr>
      </w:pPr>
      <w:r w:rsidRPr="00A6428D">
        <w:rPr>
          <w:rFonts w:eastAsia="Calibri"/>
          <w:b/>
          <w:bCs/>
          <w:color w:val="00B0F0"/>
          <w:sz w:val="16"/>
          <w:szCs w:val="16"/>
        </w:rPr>
        <w:t>Tender disclaimer</w:t>
      </w:r>
      <w:r w:rsidRPr="00281BCC">
        <w:rPr>
          <w:rFonts w:eastAsia="Calibri"/>
          <w:b/>
          <w:bCs/>
          <w:sz w:val="16"/>
          <w:szCs w:val="16"/>
        </w:rPr>
        <w:t>.</w:t>
      </w:r>
    </w:p>
    <w:p w14:paraId="503FD0E1" w14:textId="2A71F70E" w:rsidR="00A6428D" w:rsidRPr="00281BCC" w:rsidRDefault="00A6428D" w:rsidP="00A6428D">
      <w:pPr>
        <w:spacing w:line="276" w:lineRule="auto"/>
        <w:ind w:right="-46"/>
        <w:jc w:val="both"/>
        <w:rPr>
          <w:sz w:val="20"/>
          <w:szCs w:val="20"/>
        </w:rPr>
      </w:pPr>
      <w:r w:rsidRPr="00281BCC">
        <w:rPr>
          <w:rFonts w:eastAsia="Calibri"/>
          <w:i/>
          <w:iCs/>
          <w:szCs w:val="18"/>
          <w:lang w:val="en-US" w:bidi="en-US"/>
        </w:rPr>
        <w:t>SNV reserves the right to either accept or reject any or all bids submitted. SNV can stop this procurement at any time without need to give explanation or can extend the deadline for submission once it sees it fit. In case you do not hear from SNV within 3 weeks of closure of the bid receipt date, consider yourself unsuccessful.</w:t>
      </w:r>
      <w:r w:rsidRPr="00281BCC">
        <w:rPr>
          <w:rFonts w:eastAsia="Calibri"/>
          <w:b/>
          <w:bCs/>
          <w:i/>
          <w:iCs/>
          <w:szCs w:val="18"/>
          <w:lang w:val="en-US" w:bidi="en-US"/>
        </w:rPr>
        <w:t xml:space="preserve"> </w:t>
      </w:r>
      <w:r w:rsidRPr="00281BCC">
        <w:rPr>
          <w:rFonts w:eastAsia="Calibri"/>
          <w:i/>
          <w:iCs/>
          <w:szCs w:val="18"/>
          <w:lang w:val="en-US" w:bidi="en-US"/>
        </w:rPr>
        <w:t>SNV also reserves the right to reject and cancel the tender in case any illegal, corrupt, coercive, or collusive practices are noticed. Late bids will be rejected</w:t>
      </w:r>
      <w:r>
        <w:rPr>
          <w:sz w:val="20"/>
          <w:szCs w:val="20"/>
        </w:rPr>
        <w:t xml:space="preserve">. </w:t>
      </w:r>
      <w:r w:rsidRPr="00281BCC">
        <w:rPr>
          <w:rFonts w:eastAsia="Calibri"/>
          <w:i/>
          <w:iCs/>
          <w:szCs w:val="18"/>
          <w:lang w:val="en-US" w:bidi="en-US"/>
        </w:rPr>
        <w:t>Please note that viewing, downloading or otherwise using the TOR constitutes acceptance on your part of all the above noted statements and conditions</w:t>
      </w:r>
      <w:r>
        <w:rPr>
          <w:rFonts w:eastAsia="Calibri"/>
          <w:i/>
          <w:iCs/>
          <w:szCs w:val="18"/>
          <w:lang w:val="en-US" w:bidi="en-US"/>
        </w:rPr>
        <w:t>.</w:t>
      </w:r>
    </w:p>
    <w:p w14:paraId="6493A139" w14:textId="0E9CEB24" w:rsidR="00EF0415" w:rsidRPr="00D42862" w:rsidRDefault="00EF0415" w:rsidP="00BA3435">
      <w:pPr>
        <w:pStyle w:val="NormalWeb"/>
        <w:spacing w:before="0" w:beforeAutospacing="0" w:after="0" w:afterAutospacing="0"/>
        <w:jc w:val="both"/>
        <w:rPr>
          <w:szCs w:val="18"/>
        </w:rPr>
      </w:pPr>
    </w:p>
    <w:p w14:paraId="34F578FA" w14:textId="77777777" w:rsidR="00EF0415" w:rsidRPr="00D42862" w:rsidRDefault="00EF0415" w:rsidP="00BA3435">
      <w:pPr>
        <w:pStyle w:val="NormalWeb"/>
        <w:spacing w:before="0" w:beforeAutospacing="0" w:after="0" w:afterAutospacing="0"/>
        <w:jc w:val="both"/>
        <w:rPr>
          <w:szCs w:val="18"/>
        </w:rPr>
      </w:pPr>
    </w:p>
    <w:p w14:paraId="56BC8510" w14:textId="77777777" w:rsidR="00533A50" w:rsidRPr="00D42862" w:rsidRDefault="00533A50" w:rsidP="00BA3435">
      <w:pPr>
        <w:pStyle w:val="NormalWeb"/>
        <w:spacing w:before="0" w:beforeAutospacing="0" w:after="0" w:afterAutospacing="0"/>
        <w:jc w:val="both"/>
        <w:rPr>
          <w:szCs w:val="18"/>
        </w:rPr>
      </w:pPr>
    </w:p>
    <w:p w14:paraId="48839377" w14:textId="77777777" w:rsidR="00533A50" w:rsidRPr="00D42862" w:rsidRDefault="00533A50" w:rsidP="00BA3435">
      <w:pPr>
        <w:jc w:val="both"/>
        <w:rPr>
          <w:szCs w:val="18"/>
        </w:rPr>
      </w:pPr>
    </w:p>
    <w:p w14:paraId="7ABD1504" w14:textId="77777777" w:rsidR="00533A50" w:rsidRPr="00D42862" w:rsidRDefault="00533A50" w:rsidP="00BA3435">
      <w:pPr>
        <w:jc w:val="both"/>
        <w:rPr>
          <w:szCs w:val="18"/>
        </w:rPr>
      </w:pPr>
    </w:p>
    <w:p w14:paraId="42DC4406" w14:textId="77777777" w:rsidR="00533A50" w:rsidRPr="00D42862" w:rsidRDefault="00533A50" w:rsidP="00BA3435">
      <w:pPr>
        <w:jc w:val="both"/>
        <w:rPr>
          <w:szCs w:val="18"/>
        </w:rPr>
      </w:pPr>
    </w:p>
    <w:p w14:paraId="172A608A" w14:textId="77777777" w:rsidR="00533A50" w:rsidRPr="00D42862" w:rsidRDefault="00533A50" w:rsidP="00BA3435">
      <w:pPr>
        <w:jc w:val="both"/>
        <w:rPr>
          <w:szCs w:val="18"/>
        </w:rPr>
      </w:pPr>
    </w:p>
    <w:p w14:paraId="4FC6571D" w14:textId="77777777" w:rsidR="00533A50" w:rsidRPr="00D42862" w:rsidRDefault="00533A50" w:rsidP="00BA3435">
      <w:pPr>
        <w:jc w:val="both"/>
        <w:rPr>
          <w:szCs w:val="18"/>
        </w:rPr>
      </w:pPr>
    </w:p>
    <w:p w14:paraId="0708CA3B" w14:textId="77777777" w:rsidR="00533A50" w:rsidRPr="00D42862" w:rsidRDefault="00533A50" w:rsidP="00BA3435">
      <w:pPr>
        <w:jc w:val="both"/>
        <w:rPr>
          <w:szCs w:val="18"/>
        </w:rPr>
      </w:pPr>
    </w:p>
    <w:p w14:paraId="7742F2FA" w14:textId="77777777" w:rsidR="00533A50" w:rsidRPr="00D42862" w:rsidRDefault="00533A50" w:rsidP="00BA3435">
      <w:pPr>
        <w:jc w:val="both"/>
        <w:rPr>
          <w:szCs w:val="18"/>
        </w:rPr>
      </w:pPr>
    </w:p>
    <w:p w14:paraId="15761DDB" w14:textId="77777777" w:rsidR="004E430A" w:rsidRPr="00D42862" w:rsidRDefault="004E430A" w:rsidP="00BA3435">
      <w:pPr>
        <w:jc w:val="both"/>
        <w:rPr>
          <w:rFonts w:eastAsia="Calibri"/>
          <w:b/>
          <w:bCs/>
          <w:szCs w:val="18"/>
          <w:lang w:eastAsia="en-US"/>
        </w:rPr>
      </w:pPr>
    </w:p>
    <w:sectPr w:rsidR="004E430A" w:rsidRPr="00D42862" w:rsidSect="0049233F">
      <w:headerReference w:type="default" r:id="rId14"/>
      <w:footerReference w:type="default" r:id="rId15"/>
      <w:headerReference w:type="first" r:id="rId16"/>
      <w:footerReference w:type="first" r:id="rId17"/>
      <w:pgSz w:w="11900" w:h="16840"/>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7085" w14:textId="77777777" w:rsidR="00AD3A1E" w:rsidRDefault="00AD3A1E">
      <w:r>
        <w:separator/>
      </w:r>
    </w:p>
  </w:endnote>
  <w:endnote w:type="continuationSeparator" w:id="0">
    <w:p w14:paraId="6B8158B5" w14:textId="77777777" w:rsidR="00AD3A1E" w:rsidRDefault="00AD3A1E">
      <w:r>
        <w:continuationSeparator/>
      </w:r>
    </w:p>
  </w:endnote>
  <w:endnote w:type="continuationNotice" w:id="1">
    <w:p w14:paraId="777B36A6" w14:textId="77777777" w:rsidR="00AD3A1E" w:rsidRDefault="00AD3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42919765"/>
      <w:docPartObj>
        <w:docPartGallery w:val="Page Numbers (Bottom of Page)"/>
        <w:docPartUnique/>
      </w:docPartObj>
    </w:sdtPr>
    <w:sdtEndPr>
      <w:rPr>
        <w:noProof/>
      </w:rPr>
    </w:sdtEndPr>
    <w:sdtContent>
      <w:p w14:paraId="127A7340" w14:textId="3B4149D3" w:rsidR="00592C44" w:rsidRPr="00C93B9D" w:rsidRDefault="00592C44">
        <w:pPr>
          <w:pStyle w:val="Footer"/>
          <w:jc w:val="right"/>
          <w:rPr>
            <w:sz w:val="16"/>
            <w:szCs w:val="16"/>
          </w:rPr>
        </w:pPr>
        <w:r w:rsidRPr="00C93B9D">
          <w:rPr>
            <w:sz w:val="16"/>
            <w:szCs w:val="16"/>
          </w:rPr>
          <w:fldChar w:fldCharType="begin"/>
        </w:r>
        <w:r w:rsidRPr="00C93B9D">
          <w:rPr>
            <w:sz w:val="16"/>
            <w:szCs w:val="16"/>
          </w:rPr>
          <w:instrText xml:space="preserve"> PAGE   \* MERGEFORMAT </w:instrText>
        </w:r>
        <w:r w:rsidRPr="00C93B9D">
          <w:rPr>
            <w:sz w:val="16"/>
            <w:szCs w:val="16"/>
          </w:rPr>
          <w:fldChar w:fldCharType="separate"/>
        </w:r>
        <w:r w:rsidR="00FB3907">
          <w:rPr>
            <w:noProof/>
            <w:sz w:val="16"/>
            <w:szCs w:val="16"/>
          </w:rPr>
          <w:t>2</w:t>
        </w:r>
        <w:r w:rsidRPr="00C93B9D">
          <w:rPr>
            <w:noProof/>
            <w:sz w:val="16"/>
            <w:szCs w:val="16"/>
          </w:rPr>
          <w:fldChar w:fldCharType="end"/>
        </w:r>
      </w:p>
    </w:sdtContent>
  </w:sdt>
  <w:p w14:paraId="7EA41445" w14:textId="77777777" w:rsidR="00592C44" w:rsidRDefault="0059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813205"/>
      <w:docPartObj>
        <w:docPartGallery w:val="Page Numbers (Bottom of Page)"/>
        <w:docPartUnique/>
      </w:docPartObj>
    </w:sdtPr>
    <w:sdtEndPr/>
    <w:sdtContent>
      <w:p w14:paraId="6D0817F7" w14:textId="77777777" w:rsidR="00592C44" w:rsidRPr="008B6858" w:rsidRDefault="00592C44" w:rsidP="00C93B9D">
        <w:pPr>
          <w:pStyle w:val="Footer"/>
        </w:pPr>
        <w:r w:rsidRPr="00526CB4">
          <w:rPr>
            <w:rStyle w:val="PageNumber"/>
          </w:rPr>
          <w:fldChar w:fldCharType="begin"/>
        </w:r>
        <w:r w:rsidRPr="00526CB4">
          <w:rPr>
            <w:rStyle w:val="PageNumber"/>
          </w:rPr>
          <w:instrText>PAGE   \* MERGEFORMAT</w:instrText>
        </w:r>
        <w:r w:rsidRPr="00526CB4">
          <w:rPr>
            <w:rStyle w:val="PageNumber"/>
          </w:rPr>
          <w:fldChar w:fldCharType="separate"/>
        </w:r>
        <w:r>
          <w:rPr>
            <w:rStyle w:val="PageNumber"/>
            <w:noProof/>
          </w:rPr>
          <w:t>1</w:t>
        </w:r>
        <w:r w:rsidRPr="00526CB4">
          <w:rPr>
            <w:rStyle w:val="PageNumber"/>
          </w:rPr>
          <w:fldChar w:fldCharType="end"/>
        </w:r>
        <w:r w:rsidRPr="00526CB4">
          <w:rPr>
            <w:rStyle w:val="PageNumber"/>
          </w:rPr>
          <w:t xml:space="preserve"> | </w:t>
        </w:r>
        <w:r>
          <w:t>Report CDI-</w:t>
        </w:r>
        <w:r w:rsidRPr="00526CB4">
          <w:t xml:space="preserve"> </w:t>
        </w:r>
        <w:bookmarkStart w:id="20" w:name="do_Nummer4"/>
        <w:r>
          <w:t>17-018</w:t>
        </w:r>
      </w:p>
    </w:sdtContent>
  </w:sdt>
  <w:bookmarkEnd w:id="20" w:displacedByCustomXml="prev"/>
  <w:p w14:paraId="6A8C42E8" w14:textId="77777777" w:rsidR="00592C44" w:rsidRPr="00137712" w:rsidRDefault="00592C44" w:rsidP="00C93B9D">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0290" w14:textId="77777777" w:rsidR="00AD3A1E" w:rsidRDefault="00AD3A1E">
      <w:r>
        <w:separator/>
      </w:r>
    </w:p>
  </w:footnote>
  <w:footnote w:type="continuationSeparator" w:id="0">
    <w:p w14:paraId="18BC0D93" w14:textId="77777777" w:rsidR="00AD3A1E" w:rsidRDefault="00AD3A1E">
      <w:r>
        <w:continuationSeparator/>
      </w:r>
    </w:p>
  </w:footnote>
  <w:footnote w:type="continuationNotice" w:id="1">
    <w:p w14:paraId="1533D30E" w14:textId="77777777" w:rsidR="00AD3A1E" w:rsidRDefault="00AD3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E731" w14:textId="0F81A8E6" w:rsidR="00592C44" w:rsidRDefault="0049233F">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DA32" w14:textId="77777777" w:rsidR="00592C44" w:rsidRDefault="00592C44">
    <w:r w:rsidRPr="00D74265">
      <w:rPr>
        <w:noProof/>
      </w:rPr>
      <mc:AlternateContent>
        <mc:Choice Requires="wps">
          <w:drawing>
            <wp:anchor distT="0" distB="0" distL="114300" distR="114300" simplePos="0" relativeHeight="251660800" behindDoc="0" locked="0" layoutInCell="1" allowOverlap="1" wp14:anchorId="0A835C83" wp14:editId="6C80B42D">
              <wp:simplePos x="0" y="0"/>
              <wp:positionH relativeFrom="page">
                <wp:posOffset>972185</wp:posOffset>
              </wp:positionH>
              <wp:positionV relativeFrom="page">
                <wp:posOffset>288290</wp:posOffset>
              </wp:positionV>
              <wp:extent cx="5616000" cy="0"/>
              <wp:effectExtent l="0" t="0" r="22860" b="19050"/>
              <wp:wrapNone/>
              <wp:docPr id="10" name="Rechte verbindingslijn 10"/>
              <wp:cNvGraphicFramePr/>
              <a:graphic xmlns:a="http://schemas.openxmlformats.org/drawingml/2006/main">
                <a:graphicData uri="http://schemas.microsoft.com/office/word/2010/wordprocessingShape">
                  <wps:wsp>
                    <wps:cNvCnPr/>
                    <wps:spPr>
                      <a:xfrm>
                        <a:off x="0" y="0"/>
                        <a:ext cx="561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3B37D" id="Rechte verbindingslijn 10" o:spid="_x0000_s1026" style="position:absolute;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6.55pt,22.7pt" to="518.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" strokecolor="black [3213]"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593"/>
    <w:multiLevelType w:val="hybridMultilevel"/>
    <w:tmpl w:val="56CAF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6B614D"/>
    <w:multiLevelType w:val="hybridMultilevel"/>
    <w:tmpl w:val="2E92E6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CE1E79"/>
    <w:multiLevelType w:val="hybridMultilevel"/>
    <w:tmpl w:val="6186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B6516"/>
    <w:multiLevelType w:val="hybridMultilevel"/>
    <w:tmpl w:val="79F0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F2F44"/>
    <w:multiLevelType w:val="hybridMultilevel"/>
    <w:tmpl w:val="F9E2DE3E"/>
    <w:lvl w:ilvl="0" w:tplc="2000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EB45C0"/>
    <w:multiLevelType w:val="hybridMultilevel"/>
    <w:tmpl w:val="4FA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B64CB"/>
    <w:multiLevelType w:val="hybridMultilevel"/>
    <w:tmpl w:val="25F816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0FE71AA"/>
    <w:multiLevelType w:val="multilevel"/>
    <w:tmpl w:val="9C30474A"/>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79EA66F7"/>
    <w:multiLevelType w:val="multilevel"/>
    <w:tmpl w:val="7A686760"/>
    <w:lvl w:ilvl="0">
      <w:start w:val="1"/>
      <w:numFmt w:val="decimal"/>
      <w:pStyle w:val="KopBijlage"/>
      <w:lvlText w:val="Appendix %1"/>
      <w:lvlJc w:val="left"/>
      <w:pPr>
        <w:ind w:left="54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9" w15:restartNumberingAfterBreak="0">
    <w:nsid w:val="7B041FF0"/>
    <w:multiLevelType w:val="multilevel"/>
    <w:tmpl w:val="DD42C0DC"/>
    <w:lvl w:ilvl="0">
      <w:start w:val="8"/>
      <w:numFmt w:val="decimal"/>
      <w:lvlText w:val="%1"/>
      <w:lvlJc w:val="left"/>
      <w:pPr>
        <w:ind w:left="430" w:hanging="4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7C4836A2"/>
    <w:multiLevelType w:val="hybridMultilevel"/>
    <w:tmpl w:val="EC24BD4E"/>
    <w:lvl w:ilvl="0" w:tplc="949CCDC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27590410">
    <w:abstractNumId w:val="8"/>
  </w:num>
  <w:num w:numId="2" w16cid:durableId="1623923864">
    <w:abstractNumId w:val="10"/>
  </w:num>
  <w:num w:numId="3" w16cid:durableId="1497302243">
    <w:abstractNumId w:val="1"/>
  </w:num>
  <w:num w:numId="4" w16cid:durableId="1858422367">
    <w:abstractNumId w:val="4"/>
  </w:num>
  <w:num w:numId="5" w16cid:durableId="1491867053">
    <w:abstractNumId w:val="6"/>
  </w:num>
  <w:num w:numId="6" w16cid:durableId="929966047">
    <w:abstractNumId w:val="5"/>
  </w:num>
  <w:num w:numId="7" w16cid:durableId="1582832986">
    <w:abstractNumId w:val="2"/>
  </w:num>
  <w:num w:numId="8" w16cid:durableId="1124889491">
    <w:abstractNumId w:val="3"/>
  </w:num>
  <w:num w:numId="9" w16cid:durableId="420032753">
    <w:abstractNumId w:val="7"/>
  </w:num>
  <w:num w:numId="10" w16cid:durableId="514349194">
    <w:abstractNumId w:val="9"/>
  </w:num>
  <w:num w:numId="11" w16cid:durableId="11130113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3A"/>
    <w:rsid w:val="0000153F"/>
    <w:rsid w:val="00005693"/>
    <w:rsid w:val="000060DA"/>
    <w:rsid w:val="00015D8E"/>
    <w:rsid w:val="00017616"/>
    <w:rsid w:val="00022FCF"/>
    <w:rsid w:val="00023EFF"/>
    <w:rsid w:val="00024AC1"/>
    <w:rsid w:val="00026808"/>
    <w:rsid w:val="00033514"/>
    <w:rsid w:val="00033608"/>
    <w:rsid w:val="00033C10"/>
    <w:rsid w:val="00034C23"/>
    <w:rsid w:val="00041452"/>
    <w:rsid w:val="00042262"/>
    <w:rsid w:val="00042683"/>
    <w:rsid w:val="000452F8"/>
    <w:rsid w:val="00045AA5"/>
    <w:rsid w:val="000524D2"/>
    <w:rsid w:val="0005352A"/>
    <w:rsid w:val="000535FE"/>
    <w:rsid w:val="00056EFB"/>
    <w:rsid w:val="00067C9B"/>
    <w:rsid w:val="000707F2"/>
    <w:rsid w:val="00077A81"/>
    <w:rsid w:val="000802B1"/>
    <w:rsid w:val="0008092D"/>
    <w:rsid w:val="00080939"/>
    <w:rsid w:val="00081916"/>
    <w:rsid w:val="000832B1"/>
    <w:rsid w:val="000859D0"/>
    <w:rsid w:val="0009103A"/>
    <w:rsid w:val="00094B3A"/>
    <w:rsid w:val="000A5D79"/>
    <w:rsid w:val="000B2C8D"/>
    <w:rsid w:val="000B4EAB"/>
    <w:rsid w:val="000B59E9"/>
    <w:rsid w:val="000B5FC5"/>
    <w:rsid w:val="000C1AC7"/>
    <w:rsid w:val="000D37D1"/>
    <w:rsid w:val="000D6430"/>
    <w:rsid w:val="000E0A8F"/>
    <w:rsid w:val="000E12B0"/>
    <w:rsid w:val="000E3A78"/>
    <w:rsid w:val="000E3BA1"/>
    <w:rsid w:val="000E5682"/>
    <w:rsid w:val="000E5937"/>
    <w:rsid w:val="000E5DE5"/>
    <w:rsid w:val="000E7FCD"/>
    <w:rsid w:val="000F3481"/>
    <w:rsid w:val="000F42A0"/>
    <w:rsid w:val="000F4A48"/>
    <w:rsid w:val="0010108B"/>
    <w:rsid w:val="00103830"/>
    <w:rsid w:val="00113330"/>
    <w:rsid w:val="00114179"/>
    <w:rsid w:val="00114D5B"/>
    <w:rsid w:val="00120FDF"/>
    <w:rsid w:val="00122668"/>
    <w:rsid w:val="00123107"/>
    <w:rsid w:val="00131493"/>
    <w:rsid w:val="00131F74"/>
    <w:rsid w:val="001364FB"/>
    <w:rsid w:val="001408A6"/>
    <w:rsid w:val="00140ED1"/>
    <w:rsid w:val="00141E1E"/>
    <w:rsid w:val="0014218A"/>
    <w:rsid w:val="0014472A"/>
    <w:rsid w:val="001512C9"/>
    <w:rsid w:val="0015302B"/>
    <w:rsid w:val="00153D70"/>
    <w:rsid w:val="00161509"/>
    <w:rsid w:val="00161FD6"/>
    <w:rsid w:val="00163FA6"/>
    <w:rsid w:val="001703A4"/>
    <w:rsid w:val="00176A1B"/>
    <w:rsid w:val="00183C5F"/>
    <w:rsid w:val="00191428"/>
    <w:rsid w:val="001940B6"/>
    <w:rsid w:val="001A2454"/>
    <w:rsid w:val="001A2F07"/>
    <w:rsid w:val="001A3497"/>
    <w:rsid w:val="001A3F97"/>
    <w:rsid w:val="001A5ACB"/>
    <w:rsid w:val="001B1EE2"/>
    <w:rsid w:val="001B2AF1"/>
    <w:rsid w:val="001B649D"/>
    <w:rsid w:val="001B6DAD"/>
    <w:rsid w:val="001B7E03"/>
    <w:rsid w:val="001C40A4"/>
    <w:rsid w:val="001D1B18"/>
    <w:rsid w:val="001E2337"/>
    <w:rsid w:val="001E2EFE"/>
    <w:rsid w:val="001F4916"/>
    <w:rsid w:val="001F5A68"/>
    <w:rsid w:val="001F641F"/>
    <w:rsid w:val="00201030"/>
    <w:rsid w:val="002034D5"/>
    <w:rsid w:val="00204DC1"/>
    <w:rsid w:val="002055E1"/>
    <w:rsid w:val="00205910"/>
    <w:rsid w:val="0020684B"/>
    <w:rsid w:val="00210495"/>
    <w:rsid w:val="00210D87"/>
    <w:rsid w:val="00212435"/>
    <w:rsid w:val="0021371A"/>
    <w:rsid w:val="0021456E"/>
    <w:rsid w:val="002150EC"/>
    <w:rsid w:val="00223D82"/>
    <w:rsid w:val="002271DF"/>
    <w:rsid w:val="00233791"/>
    <w:rsid w:val="00237BD6"/>
    <w:rsid w:val="00250C81"/>
    <w:rsid w:val="00252E0D"/>
    <w:rsid w:val="0025491E"/>
    <w:rsid w:val="00254E72"/>
    <w:rsid w:val="002621CE"/>
    <w:rsid w:val="0026235C"/>
    <w:rsid w:val="00273AFD"/>
    <w:rsid w:val="00275DCA"/>
    <w:rsid w:val="002768EB"/>
    <w:rsid w:val="00280A96"/>
    <w:rsid w:val="00284F74"/>
    <w:rsid w:val="0028677A"/>
    <w:rsid w:val="002871F0"/>
    <w:rsid w:val="00287207"/>
    <w:rsid w:val="00293400"/>
    <w:rsid w:val="002942D3"/>
    <w:rsid w:val="00295BAF"/>
    <w:rsid w:val="00295C85"/>
    <w:rsid w:val="002A11D2"/>
    <w:rsid w:val="002A4501"/>
    <w:rsid w:val="002A6841"/>
    <w:rsid w:val="002B4A35"/>
    <w:rsid w:val="002B4FEC"/>
    <w:rsid w:val="002B5D72"/>
    <w:rsid w:val="002C256F"/>
    <w:rsid w:val="002C30E0"/>
    <w:rsid w:val="002C36CD"/>
    <w:rsid w:val="002C54E3"/>
    <w:rsid w:val="002C6AD1"/>
    <w:rsid w:val="002D1966"/>
    <w:rsid w:val="002D2A53"/>
    <w:rsid w:val="002E0F7F"/>
    <w:rsid w:val="002E1ACA"/>
    <w:rsid w:val="002E1B99"/>
    <w:rsid w:val="002E1D11"/>
    <w:rsid w:val="002E4E04"/>
    <w:rsid w:val="002E5E0F"/>
    <w:rsid w:val="002E711F"/>
    <w:rsid w:val="00302958"/>
    <w:rsid w:val="00302BC1"/>
    <w:rsid w:val="0030543E"/>
    <w:rsid w:val="003100BF"/>
    <w:rsid w:val="003106D7"/>
    <w:rsid w:val="00310D83"/>
    <w:rsid w:val="0031328D"/>
    <w:rsid w:val="00313F8E"/>
    <w:rsid w:val="003212AA"/>
    <w:rsid w:val="003231EA"/>
    <w:rsid w:val="00325F24"/>
    <w:rsid w:val="00327342"/>
    <w:rsid w:val="00327838"/>
    <w:rsid w:val="00332793"/>
    <w:rsid w:val="00336478"/>
    <w:rsid w:val="00340F30"/>
    <w:rsid w:val="003422B4"/>
    <w:rsid w:val="00343C71"/>
    <w:rsid w:val="00344A57"/>
    <w:rsid w:val="003455EF"/>
    <w:rsid w:val="00345D7B"/>
    <w:rsid w:val="00346B9F"/>
    <w:rsid w:val="00354892"/>
    <w:rsid w:val="003551EA"/>
    <w:rsid w:val="00357ADA"/>
    <w:rsid w:val="00360DFB"/>
    <w:rsid w:val="00362213"/>
    <w:rsid w:val="003636F2"/>
    <w:rsid w:val="0036370C"/>
    <w:rsid w:val="00363AEA"/>
    <w:rsid w:val="00380FB8"/>
    <w:rsid w:val="00381E08"/>
    <w:rsid w:val="00381EB8"/>
    <w:rsid w:val="0039278A"/>
    <w:rsid w:val="003936C9"/>
    <w:rsid w:val="00395F74"/>
    <w:rsid w:val="003A3617"/>
    <w:rsid w:val="003A3BA4"/>
    <w:rsid w:val="003A6CBD"/>
    <w:rsid w:val="003B01DE"/>
    <w:rsid w:val="003B1A8F"/>
    <w:rsid w:val="003B28D8"/>
    <w:rsid w:val="003B2D5C"/>
    <w:rsid w:val="003B3EA9"/>
    <w:rsid w:val="003B7277"/>
    <w:rsid w:val="003B74FA"/>
    <w:rsid w:val="003C0407"/>
    <w:rsid w:val="003C12ED"/>
    <w:rsid w:val="003C1ABB"/>
    <w:rsid w:val="003C246D"/>
    <w:rsid w:val="003C7588"/>
    <w:rsid w:val="003D577C"/>
    <w:rsid w:val="003E0119"/>
    <w:rsid w:val="003E1753"/>
    <w:rsid w:val="003E1B3B"/>
    <w:rsid w:val="003E1CE3"/>
    <w:rsid w:val="003E28EA"/>
    <w:rsid w:val="003E38B5"/>
    <w:rsid w:val="003E74CF"/>
    <w:rsid w:val="003F135A"/>
    <w:rsid w:val="003F2EB9"/>
    <w:rsid w:val="003F36CD"/>
    <w:rsid w:val="003F609B"/>
    <w:rsid w:val="003F72AD"/>
    <w:rsid w:val="003F7F25"/>
    <w:rsid w:val="00400F6F"/>
    <w:rsid w:val="004022B5"/>
    <w:rsid w:val="00403049"/>
    <w:rsid w:val="00407073"/>
    <w:rsid w:val="004119A6"/>
    <w:rsid w:val="00411B99"/>
    <w:rsid w:val="00413600"/>
    <w:rsid w:val="004179E2"/>
    <w:rsid w:val="0042378D"/>
    <w:rsid w:val="004246B3"/>
    <w:rsid w:val="00425711"/>
    <w:rsid w:val="00427687"/>
    <w:rsid w:val="00430431"/>
    <w:rsid w:val="00434AF9"/>
    <w:rsid w:val="0044040C"/>
    <w:rsid w:val="00443817"/>
    <w:rsid w:val="0045145B"/>
    <w:rsid w:val="004537A0"/>
    <w:rsid w:val="0045408F"/>
    <w:rsid w:val="00465DF2"/>
    <w:rsid w:val="0046681B"/>
    <w:rsid w:val="00466F1B"/>
    <w:rsid w:val="00470721"/>
    <w:rsid w:val="0047154E"/>
    <w:rsid w:val="0047232D"/>
    <w:rsid w:val="004734FC"/>
    <w:rsid w:val="0047364A"/>
    <w:rsid w:val="00481255"/>
    <w:rsid w:val="004833B0"/>
    <w:rsid w:val="004860D6"/>
    <w:rsid w:val="00486A6D"/>
    <w:rsid w:val="00487125"/>
    <w:rsid w:val="0049233F"/>
    <w:rsid w:val="004963D9"/>
    <w:rsid w:val="00497BBC"/>
    <w:rsid w:val="00497E23"/>
    <w:rsid w:val="004A05B6"/>
    <w:rsid w:val="004A1080"/>
    <w:rsid w:val="004A7BF3"/>
    <w:rsid w:val="004B6AC2"/>
    <w:rsid w:val="004B77EB"/>
    <w:rsid w:val="004C1E7D"/>
    <w:rsid w:val="004C37B0"/>
    <w:rsid w:val="004C5B53"/>
    <w:rsid w:val="004D5435"/>
    <w:rsid w:val="004D79DF"/>
    <w:rsid w:val="004E1F55"/>
    <w:rsid w:val="004E430A"/>
    <w:rsid w:val="004E559A"/>
    <w:rsid w:val="004E6F9E"/>
    <w:rsid w:val="004E7656"/>
    <w:rsid w:val="004E7EA7"/>
    <w:rsid w:val="004F14E7"/>
    <w:rsid w:val="00501ACE"/>
    <w:rsid w:val="00504763"/>
    <w:rsid w:val="00504D71"/>
    <w:rsid w:val="005074F1"/>
    <w:rsid w:val="0050783E"/>
    <w:rsid w:val="005114E5"/>
    <w:rsid w:val="00511937"/>
    <w:rsid w:val="00512444"/>
    <w:rsid w:val="005146EA"/>
    <w:rsid w:val="00516FB7"/>
    <w:rsid w:val="00517B67"/>
    <w:rsid w:val="00523D76"/>
    <w:rsid w:val="005275B2"/>
    <w:rsid w:val="00530CF8"/>
    <w:rsid w:val="00533A50"/>
    <w:rsid w:val="00535B84"/>
    <w:rsid w:val="00547A34"/>
    <w:rsid w:val="00551A38"/>
    <w:rsid w:val="00551BB8"/>
    <w:rsid w:val="00553EB9"/>
    <w:rsid w:val="00555BD7"/>
    <w:rsid w:val="00556C93"/>
    <w:rsid w:val="005630BE"/>
    <w:rsid w:val="0056319E"/>
    <w:rsid w:val="00563668"/>
    <w:rsid w:val="005709B5"/>
    <w:rsid w:val="005719E7"/>
    <w:rsid w:val="00572B0B"/>
    <w:rsid w:val="005736C6"/>
    <w:rsid w:val="0058014F"/>
    <w:rsid w:val="005825FB"/>
    <w:rsid w:val="005828FA"/>
    <w:rsid w:val="0058472C"/>
    <w:rsid w:val="005855C3"/>
    <w:rsid w:val="00585D05"/>
    <w:rsid w:val="0058648B"/>
    <w:rsid w:val="005872E2"/>
    <w:rsid w:val="00590475"/>
    <w:rsid w:val="005914B3"/>
    <w:rsid w:val="00592C44"/>
    <w:rsid w:val="00594F9C"/>
    <w:rsid w:val="005A6C0A"/>
    <w:rsid w:val="005A75ED"/>
    <w:rsid w:val="005B17C5"/>
    <w:rsid w:val="005B3188"/>
    <w:rsid w:val="005B77D9"/>
    <w:rsid w:val="005C265E"/>
    <w:rsid w:val="005C5178"/>
    <w:rsid w:val="005D68F2"/>
    <w:rsid w:val="005E0CE1"/>
    <w:rsid w:val="005E374F"/>
    <w:rsid w:val="005E41EF"/>
    <w:rsid w:val="005E6C2B"/>
    <w:rsid w:val="005F13F6"/>
    <w:rsid w:val="005F3248"/>
    <w:rsid w:val="005F47D4"/>
    <w:rsid w:val="005F528A"/>
    <w:rsid w:val="00611D0A"/>
    <w:rsid w:val="00612641"/>
    <w:rsid w:val="0061283F"/>
    <w:rsid w:val="00612F28"/>
    <w:rsid w:val="006134A5"/>
    <w:rsid w:val="006144A6"/>
    <w:rsid w:val="00615CF3"/>
    <w:rsid w:val="006239B3"/>
    <w:rsid w:val="0062581A"/>
    <w:rsid w:val="006335E4"/>
    <w:rsid w:val="00634054"/>
    <w:rsid w:val="006358A9"/>
    <w:rsid w:val="00636C86"/>
    <w:rsid w:val="00637794"/>
    <w:rsid w:val="006425D4"/>
    <w:rsid w:val="0065275D"/>
    <w:rsid w:val="00652BDE"/>
    <w:rsid w:val="006562B6"/>
    <w:rsid w:val="00661101"/>
    <w:rsid w:val="006634D9"/>
    <w:rsid w:val="00666924"/>
    <w:rsid w:val="006677BC"/>
    <w:rsid w:val="006709D4"/>
    <w:rsid w:val="00675DA7"/>
    <w:rsid w:val="00683360"/>
    <w:rsid w:val="0068399C"/>
    <w:rsid w:val="00686E48"/>
    <w:rsid w:val="006872A8"/>
    <w:rsid w:val="00692DE8"/>
    <w:rsid w:val="00695908"/>
    <w:rsid w:val="006A0828"/>
    <w:rsid w:val="006A2B4C"/>
    <w:rsid w:val="006A68CB"/>
    <w:rsid w:val="006B394F"/>
    <w:rsid w:val="006B395D"/>
    <w:rsid w:val="006B5108"/>
    <w:rsid w:val="006B602D"/>
    <w:rsid w:val="006C2783"/>
    <w:rsid w:val="006C2A7B"/>
    <w:rsid w:val="006D13E7"/>
    <w:rsid w:val="006D4EF9"/>
    <w:rsid w:val="006D6E7D"/>
    <w:rsid w:val="006E45DB"/>
    <w:rsid w:val="006E4AC9"/>
    <w:rsid w:val="006E57E4"/>
    <w:rsid w:val="006E5E00"/>
    <w:rsid w:val="006E6804"/>
    <w:rsid w:val="006F35EA"/>
    <w:rsid w:val="006F469D"/>
    <w:rsid w:val="006F68D3"/>
    <w:rsid w:val="007010BD"/>
    <w:rsid w:val="0070298D"/>
    <w:rsid w:val="00703531"/>
    <w:rsid w:val="0070467A"/>
    <w:rsid w:val="0070785E"/>
    <w:rsid w:val="00710870"/>
    <w:rsid w:val="00711B06"/>
    <w:rsid w:val="0071742E"/>
    <w:rsid w:val="007179BE"/>
    <w:rsid w:val="00717CD8"/>
    <w:rsid w:val="00720DFF"/>
    <w:rsid w:val="007230EB"/>
    <w:rsid w:val="007339B6"/>
    <w:rsid w:val="00733C3A"/>
    <w:rsid w:val="00735144"/>
    <w:rsid w:val="00743A6B"/>
    <w:rsid w:val="00744FC9"/>
    <w:rsid w:val="00750C64"/>
    <w:rsid w:val="0075100F"/>
    <w:rsid w:val="00751DD8"/>
    <w:rsid w:val="00751FD4"/>
    <w:rsid w:val="0075591D"/>
    <w:rsid w:val="00764159"/>
    <w:rsid w:val="00772DC4"/>
    <w:rsid w:val="00774DDD"/>
    <w:rsid w:val="007754B8"/>
    <w:rsid w:val="007757F3"/>
    <w:rsid w:val="00775E1A"/>
    <w:rsid w:val="00777D18"/>
    <w:rsid w:val="00780E62"/>
    <w:rsid w:val="00781BF1"/>
    <w:rsid w:val="00781C64"/>
    <w:rsid w:val="007842B3"/>
    <w:rsid w:val="00785001"/>
    <w:rsid w:val="00785856"/>
    <w:rsid w:val="007875E0"/>
    <w:rsid w:val="00791EC7"/>
    <w:rsid w:val="0079291D"/>
    <w:rsid w:val="0079292B"/>
    <w:rsid w:val="00792A8C"/>
    <w:rsid w:val="00795879"/>
    <w:rsid w:val="00796905"/>
    <w:rsid w:val="007A19E9"/>
    <w:rsid w:val="007A1EA8"/>
    <w:rsid w:val="007A2097"/>
    <w:rsid w:val="007A2B83"/>
    <w:rsid w:val="007B063B"/>
    <w:rsid w:val="007B0E2E"/>
    <w:rsid w:val="007B3191"/>
    <w:rsid w:val="007B6A54"/>
    <w:rsid w:val="007C0636"/>
    <w:rsid w:val="007C1948"/>
    <w:rsid w:val="007C7AEF"/>
    <w:rsid w:val="007D0254"/>
    <w:rsid w:val="007D2FD2"/>
    <w:rsid w:val="007D32BC"/>
    <w:rsid w:val="007D5EC4"/>
    <w:rsid w:val="007E2842"/>
    <w:rsid w:val="007E3C71"/>
    <w:rsid w:val="007E7C63"/>
    <w:rsid w:val="007E7EA1"/>
    <w:rsid w:val="007F03C2"/>
    <w:rsid w:val="007F24E3"/>
    <w:rsid w:val="007F265C"/>
    <w:rsid w:val="007F4178"/>
    <w:rsid w:val="007F5737"/>
    <w:rsid w:val="008010A3"/>
    <w:rsid w:val="0080289E"/>
    <w:rsid w:val="0081407D"/>
    <w:rsid w:val="0081682C"/>
    <w:rsid w:val="00817EE3"/>
    <w:rsid w:val="00823A1C"/>
    <w:rsid w:val="00824CB8"/>
    <w:rsid w:val="00832EA7"/>
    <w:rsid w:val="00833AE7"/>
    <w:rsid w:val="00835CC2"/>
    <w:rsid w:val="00840D6E"/>
    <w:rsid w:val="0084205D"/>
    <w:rsid w:val="0084377D"/>
    <w:rsid w:val="00844371"/>
    <w:rsid w:val="00847991"/>
    <w:rsid w:val="0085341C"/>
    <w:rsid w:val="00853B24"/>
    <w:rsid w:val="008619E1"/>
    <w:rsid w:val="00866B7D"/>
    <w:rsid w:val="0086724E"/>
    <w:rsid w:val="008677D2"/>
    <w:rsid w:val="00870633"/>
    <w:rsid w:val="00870FCD"/>
    <w:rsid w:val="00871D9B"/>
    <w:rsid w:val="00873BED"/>
    <w:rsid w:val="00874139"/>
    <w:rsid w:val="0087501B"/>
    <w:rsid w:val="008756ED"/>
    <w:rsid w:val="008803E0"/>
    <w:rsid w:val="008805F1"/>
    <w:rsid w:val="00880AA2"/>
    <w:rsid w:val="00880EB6"/>
    <w:rsid w:val="00892805"/>
    <w:rsid w:val="0089547E"/>
    <w:rsid w:val="008A09DB"/>
    <w:rsid w:val="008A0B2B"/>
    <w:rsid w:val="008A3896"/>
    <w:rsid w:val="008A4A9F"/>
    <w:rsid w:val="008A4E2E"/>
    <w:rsid w:val="008A56D9"/>
    <w:rsid w:val="008A6E3F"/>
    <w:rsid w:val="008A7669"/>
    <w:rsid w:val="008B0930"/>
    <w:rsid w:val="008B3AEC"/>
    <w:rsid w:val="008B404A"/>
    <w:rsid w:val="008C26D1"/>
    <w:rsid w:val="008C7FA3"/>
    <w:rsid w:val="008D00C9"/>
    <w:rsid w:val="008D07BA"/>
    <w:rsid w:val="008D4868"/>
    <w:rsid w:val="008D4B29"/>
    <w:rsid w:val="008D56B6"/>
    <w:rsid w:val="008E136B"/>
    <w:rsid w:val="008E25A2"/>
    <w:rsid w:val="008E3424"/>
    <w:rsid w:val="008E5B8B"/>
    <w:rsid w:val="008E63C0"/>
    <w:rsid w:val="008F0BC4"/>
    <w:rsid w:val="008F26B5"/>
    <w:rsid w:val="008F3297"/>
    <w:rsid w:val="008F3A5B"/>
    <w:rsid w:val="008F3E97"/>
    <w:rsid w:val="008F6EFE"/>
    <w:rsid w:val="008F7FC4"/>
    <w:rsid w:val="0090101B"/>
    <w:rsid w:val="009059A3"/>
    <w:rsid w:val="00907B62"/>
    <w:rsid w:val="009123FE"/>
    <w:rsid w:val="00913AEB"/>
    <w:rsid w:val="00914723"/>
    <w:rsid w:val="00915D30"/>
    <w:rsid w:val="009179EB"/>
    <w:rsid w:val="009217B3"/>
    <w:rsid w:val="009254A6"/>
    <w:rsid w:val="0092562D"/>
    <w:rsid w:val="00930140"/>
    <w:rsid w:val="009322BE"/>
    <w:rsid w:val="00933970"/>
    <w:rsid w:val="00935905"/>
    <w:rsid w:val="0094043F"/>
    <w:rsid w:val="0094775A"/>
    <w:rsid w:val="00950E84"/>
    <w:rsid w:val="00954397"/>
    <w:rsid w:val="009553BC"/>
    <w:rsid w:val="009559E1"/>
    <w:rsid w:val="00956E3D"/>
    <w:rsid w:val="00957FDB"/>
    <w:rsid w:val="00960210"/>
    <w:rsid w:val="009606DC"/>
    <w:rsid w:val="00961FC9"/>
    <w:rsid w:val="00965E00"/>
    <w:rsid w:val="00971DD2"/>
    <w:rsid w:val="009736C8"/>
    <w:rsid w:val="00974A96"/>
    <w:rsid w:val="009862B8"/>
    <w:rsid w:val="009925F0"/>
    <w:rsid w:val="009966EF"/>
    <w:rsid w:val="00997EC0"/>
    <w:rsid w:val="009A03C0"/>
    <w:rsid w:val="009A4EC8"/>
    <w:rsid w:val="009A51CC"/>
    <w:rsid w:val="009B1E56"/>
    <w:rsid w:val="009B23C5"/>
    <w:rsid w:val="009C0233"/>
    <w:rsid w:val="009C36D6"/>
    <w:rsid w:val="009C557F"/>
    <w:rsid w:val="009C63BF"/>
    <w:rsid w:val="009C6CCE"/>
    <w:rsid w:val="009D39F6"/>
    <w:rsid w:val="009D66CC"/>
    <w:rsid w:val="009E160A"/>
    <w:rsid w:val="009E578A"/>
    <w:rsid w:val="009E5B47"/>
    <w:rsid w:val="009F0167"/>
    <w:rsid w:val="009F04EF"/>
    <w:rsid w:val="009F079B"/>
    <w:rsid w:val="009F0871"/>
    <w:rsid w:val="009F0D0F"/>
    <w:rsid w:val="009F205F"/>
    <w:rsid w:val="009F7629"/>
    <w:rsid w:val="00A01DE9"/>
    <w:rsid w:val="00A02BF1"/>
    <w:rsid w:val="00A03C78"/>
    <w:rsid w:val="00A0453C"/>
    <w:rsid w:val="00A04782"/>
    <w:rsid w:val="00A10363"/>
    <w:rsid w:val="00A137A8"/>
    <w:rsid w:val="00A1724F"/>
    <w:rsid w:val="00A20D96"/>
    <w:rsid w:val="00A23CE4"/>
    <w:rsid w:val="00A27516"/>
    <w:rsid w:val="00A2758B"/>
    <w:rsid w:val="00A32434"/>
    <w:rsid w:val="00A365BD"/>
    <w:rsid w:val="00A36D2A"/>
    <w:rsid w:val="00A37E63"/>
    <w:rsid w:val="00A40FB8"/>
    <w:rsid w:val="00A4128A"/>
    <w:rsid w:val="00A41817"/>
    <w:rsid w:val="00A4326F"/>
    <w:rsid w:val="00A47050"/>
    <w:rsid w:val="00A55E14"/>
    <w:rsid w:val="00A567D9"/>
    <w:rsid w:val="00A6428D"/>
    <w:rsid w:val="00A64833"/>
    <w:rsid w:val="00A66733"/>
    <w:rsid w:val="00A67D66"/>
    <w:rsid w:val="00A70DFD"/>
    <w:rsid w:val="00A718DE"/>
    <w:rsid w:val="00A77530"/>
    <w:rsid w:val="00A779DB"/>
    <w:rsid w:val="00A86E99"/>
    <w:rsid w:val="00A91B3A"/>
    <w:rsid w:val="00A92573"/>
    <w:rsid w:val="00A96D00"/>
    <w:rsid w:val="00AA2ADE"/>
    <w:rsid w:val="00AA4B66"/>
    <w:rsid w:val="00AA6B38"/>
    <w:rsid w:val="00AB2B9D"/>
    <w:rsid w:val="00AB4EA8"/>
    <w:rsid w:val="00AB66DF"/>
    <w:rsid w:val="00AB66EC"/>
    <w:rsid w:val="00AB69ED"/>
    <w:rsid w:val="00AC3B4D"/>
    <w:rsid w:val="00AD1715"/>
    <w:rsid w:val="00AD2D6F"/>
    <w:rsid w:val="00AD3A1E"/>
    <w:rsid w:val="00AE2420"/>
    <w:rsid w:val="00AE5237"/>
    <w:rsid w:val="00AF36DE"/>
    <w:rsid w:val="00B02E6E"/>
    <w:rsid w:val="00B0502D"/>
    <w:rsid w:val="00B074AA"/>
    <w:rsid w:val="00B103E3"/>
    <w:rsid w:val="00B109BC"/>
    <w:rsid w:val="00B123E9"/>
    <w:rsid w:val="00B14708"/>
    <w:rsid w:val="00B17B6E"/>
    <w:rsid w:val="00B23174"/>
    <w:rsid w:val="00B325F5"/>
    <w:rsid w:val="00B33F05"/>
    <w:rsid w:val="00B363B4"/>
    <w:rsid w:val="00B405C9"/>
    <w:rsid w:val="00B409C2"/>
    <w:rsid w:val="00B41AC5"/>
    <w:rsid w:val="00B42AD7"/>
    <w:rsid w:val="00B46914"/>
    <w:rsid w:val="00B47381"/>
    <w:rsid w:val="00B60B8F"/>
    <w:rsid w:val="00B6134C"/>
    <w:rsid w:val="00B63ABC"/>
    <w:rsid w:val="00B663CB"/>
    <w:rsid w:val="00B74A85"/>
    <w:rsid w:val="00B74DD9"/>
    <w:rsid w:val="00B80CB5"/>
    <w:rsid w:val="00B92FB3"/>
    <w:rsid w:val="00B97785"/>
    <w:rsid w:val="00BA2FDF"/>
    <w:rsid w:val="00BA3435"/>
    <w:rsid w:val="00BA5BE5"/>
    <w:rsid w:val="00BA7749"/>
    <w:rsid w:val="00BB6915"/>
    <w:rsid w:val="00BC03B8"/>
    <w:rsid w:val="00BC56C1"/>
    <w:rsid w:val="00BC5991"/>
    <w:rsid w:val="00BD235B"/>
    <w:rsid w:val="00BD33B9"/>
    <w:rsid w:val="00BD5FE3"/>
    <w:rsid w:val="00BD7EB3"/>
    <w:rsid w:val="00BE2108"/>
    <w:rsid w:val="00BE2C12"/>
    <w:rsid w:val="00BE7B11"/>
    <w:rsid w:val="00BF1118"/>
    <w:rsid w:val="00BF1CFE"/>
    <w:rsid w:val="00BF21BD"/>
    <w:rsid w:val="00BF28AC"/>
    <w:rsid w:val="00BF4813"/>
    <w:rsid w:val="00BF4D6D"/>
    <w:rsid w:val="00BF56F8"/>
    <w:rsid w:val="00BF7C57"/>
    <w:rsid w:val="00C044FF"/>
    <w:rsid w:val="00C0566C"/>
    <w:rsid w:val="00C15B7A"/>
    <w:rsid w:val="00C21C0D"/>
    <w:rsid w:val="00C269B7"/>
    <w:rsid w:val="00C3264C"/>
    <w:rsid w:val="00C40CB6"/>
    <w:rsid w:val="00C43C44"/>
    <w:rsid w:val="00C44C85"/>
    <w:rsid w:val="00C450A1"/>
    <w:rsid w:val="00C45EF9"/>
    <w:rsid w:val="00C46080"/>
    <w:rsid w:val="00C52BDD"/>
    <w:rsid w:val="00C52D24"/>
    <w:rsid w:val="00C546D9"/>
    <w:rsid w:val="00C567AA"/>
    <w:rsid w:val="00C60735"/>
    <w:rsid w:val="00C612E4"/>
    <w:rsid w:val="00C6441B"/>
    <w:rsid w:val="00C6527D"/>
    <w:rsid w:val="00C71EBD"/>
    <w:rsid w:val="00C754A4"/>
    <w:rsid w:val="00C8181E"/>
    <w:rsid w:val="00C82D18"/>
    <w:rsid w:val="00C85164"/>
    <w:rsid w:val="00C87DB1"/>
    <w:rsid w:val="00C90D1F"/>
    <w:rsid w:val="00C92B1D"/>
    <w:rsid w:val="00C93B9D"/>
    <w:rsid w:val="00C95678"/>
    <w:rsid w:val="00C9658B"/>
    <w:rsid w:val="00CA3768"/>
    <w:rsid w:val="00CA5004"/>
    <w:rsid w:val="00CA75F7"/>
    <w:rsid w:val="00CA7691"/>
    <w:rsid w:val="00CB06C1"/>
    <w:rsid w:val="00CB5289"/>
    <w:rsid w:val="00CB5340"/>
    <w:rsid w:val="00CB5AFD"/>
    <w:rsid w:val="00CB7F39"/>
    <w:rsid w:val="00CC048A"/>
    <w:rsid w:val="00CC241C"/>
    <w:rsid w:val="00CC39BD"/>
    <w:rsid w:val="00CC3CDA"/>
    <w:rsid w:val="00CC4F75"/>
    <w:rsid w:val="00CD20B1"/>
    <w:rsid w:val="00CD28CA"/>
    <w:rsid w:val="00CD2DA3"/>
    <w:rsid w:val="00CD4A56"/>
    <w:rsid w:val="00CE1347"/>
    <w:rsid w:val="00CE3453"/>
    <w:rsid w:val="00CF676E"/>
    <w:rsid w:val="00CF7CB2"/>
    <w:rsid w:val="00D005D9"/>
    <w:rsid w:val="00D00D46"/>
    <w:rsid w:val="00D013E0"/>
    <w:rsid w:val="00D02800"/>
    <w:rsid w:val="00D02CC2"/>
    <w:rsid w:val="00D03487"/>
    <w:rsid w:val="00D07ABD"/>
    <w:rsid w:val="00D113E2"/>
    <w:rsid w:val="00D1175D"/>
    <w:rsid w:val="00D12FC7"/>
    <w:rsid w:val="00D147DC"/>
    <w:rsid w:val="00D23A3A"/>
    <w:rsid w:val="00D24F34"/>
    <w:rsid w:val="00D2549A"/>
    <w:rsid w:val="00D26D7A"/>
    <w:rsid w:val="00D27BFE"/>
    <w:rsid w:val="00D34A27"/>
    <w:rsid w:val="00D34C3D"/>
    <w:rsid w:val="00D42862"/>
    <w:rsid w:val="00D45302"/>
    <w:rsid w:val="00D47C30"/>
    <w:rsid w:val="00D50274"/>
    <w:rsid w:val="00D51C78"/>
    <w:rsid w:val="00D52A30"/>
    <w:rsid w:val="00D53E51"/>
    <w:rsid w:val="00D56D33"/>
    <w:rsid w:val="00D56D7B"/>
    <w:rsid w:val="00D57B28"/>
    <w:rsid w:val="00D65705"/>
    <w:rsid w:val="00D67A53"/>
    <w:rsid w:val="00D71C89"/>
    <w:rsid w:val="00D73631"/>
    <w:rsid w:val="00D73CDC"/>
    <w:rsid w:val="00D74265"/>
    <w:rsid w:val="00D80F6A"/>
    <w:rsid w:val="00D82F30"/>
    <w:rsid w:val="00D83C94"/>
    <w:rsid w:val="00D87FE0"/>
    <w:rsid w:val="00D92E88"/>
    <w:rsid w:val="00D965EF"/>
    <w:rsid w:val="00DA0035"/>
    <w:rsid w:val="00DA0DE6"/>
    <w:rsid w:val="00DA24E7"/>
    <w:rsid w:val="00DA3B38"/>
    <w:rsid w:val="00DA416B"/>
    <w:rsid w:val="00DA6055"/>
    <w:rsid w:val="00DB06EF"/>
    <w:rsid w:val="00DB4908"/>
    <w:rsid w:val="00DB49FE"/>
    <w:rsid w:val="00DB567B"/>
    <w:rsid w:val="00DB7275"/>
    <w:rsid w:val="00DC0001"/>
    <w:rsid w:val="00DC55A3"/>
    <w:rsid w:val="00DD21EB"/>
    <w:rsid w:val="00DD5219"/>
    <w:rsid w:val="00DD5976"/>
    <w:rsid w:val="00DD6A79"/>
    <w:rsid w:val="00DE134B"/>
    <w:rsid w:val="00DE7545"/>
    <w:rsid w:val="00DE7FEC"/>
    <w:rsid w:val="00DF605A"/>
    <w:rsid w:val="00E0015A"/>
    <w:rsid w:val="00E035C8"/>
    <w:rsid w:val="00E101FE"/>
    <w:rsid w:val="00E11478"/>
    <w:rsid w:val="00E11D25"/>
    <w:rsid w:val="00E13099"/>
    <w:rsid w:val="00E13475"/>
    <w:rsid w:val="00E14E70"/>
    <w:rsid w:val="00E14F5C"/>
    <w:rsid w:val="00E242F8"/>
    <w:rsid w:val="00E25203"/>
    <w:rsid w:val="00E33A1A"/>
    <w:rsid w:val="00E34FC0"/>
    <w:rsid w:val="00E3596B"/>
    <w:rsid w:val="00E369B5"/>
    <w:rsid w:val="00E37CF6"/>
    <w:rsid w:val="00E404A0"/>
    <w:rsid w:val="00E41F0B"/>
    <w:rsid w:val="00E4253D"/>
    <w:rsid w:val="00E457B7"/>
    <w:rsid w:val="00E465A9"/>
    <w:rsid w:val="00E50B3A"/>
    <w:rsid w:val="00E567FE"/>
    <w:rsid w:val="00E5761E"/>
    <w:rsid w:val="00E602D7"/>
    <w:rsid w:val="00E62B7A"/>
    <w:rsid w:val="00E71AEB"/>
    <w:rsid w:val="00E71ECF"/>
    <w:rsid w:val="00E722D8"/>
    <w:rsid w:val="00E76EDB"/>
    <w:rsid w:val="00E81450"/>
    <w:rsid w:val="00E875B6"/>
    <w:rsid w:val="00E9307E"/>
    <w:rsid w:val="00E94880"/>
    <w:rsid w:val="00E96BA1"/>
    <w:rsid w:val="00EA109F"/>
    <w:rsid w:val="00EA12C9"/>
    <w:rsid w:val="00EA6017"/>
    <w:rsid w:val="00EB0A49"/>
    <w:rsid w:val="00EB0BA9"/>
    <w:rsid w:val="00EB12C7"/>
    <w:rsid w:val="00EB1340"/>
    <w:rsid w:val="00EB1B0E"/>
    <w:rsid w:val="00EB6361"/>
    <w:rsid w:val="00EB7AC2"/>
    <w:rsid w:val="00EC0118"/>
    <w:rsid w:val="00EC0C8B"/>
    <w:rsid w:val="00EC0D29"/>
    <w:rsid w:val="00ED4B62"/>
    <w:rsid w:val="00ED79A7"/>
    <w:rsid w:val="00EE20EF"/>
    <w:rsid w:val="00EE56D3"/>
    <w:rsid w:val="00EE79AD"/>
    <w:rsid w:val="00EF0415"/>
    <w:rsid w:val="00EF07FF"/>
    <w:rsid w:val="00EF0DF5"/>
    <w:rsid w:val="00EF349E"/>
    <w:rsid w:val="00EF3661"/>
    <w:rsid w:val="00F013B9"/>
    <w:rsid w:val="00F040F6"/>
    <w:rsid w:val="00F06952"/>
    <w:rsid w:val="00F12B99"/>
    <w:rsid w:val="00F2036D"/>
    <w:rsid w:val="00F20649"/>
    <w:rsid w:val="00F267C4"/>
    <w:rsid w:val="00F273A3"/>
    <w:rsid w:val="00F35BEA"/>
    <w:rsid w:val="00F4051B"/>
    <w:rsid w:val="00F41A46"/>
    <w:rsid w:val="00F43B23"/>
    <w:rsid w:val="00F46717"/>
    <w:rsid w:val="00F50348"/>
    <w:rsid w:val="00F57FCE"/>
    <w:rsid w:val="00F601D6"/>
    <w:rsid w:val="00F70E89"/>
    <w:rsid w:val="00F763B7"/>
    <w:rsid w:val="00F80733"/>
    <w:rsid w:val="00F82A03"/>
    <w:rsid w:val="00F82FA8"/>
    <w:rsid w:val="00F832F2"/>
    <w:rsid w:val="00F85468"/>
    <w:rsid w:val="00F865D9"/>
    <w:rsid w:val="00F908EF"/>
    <w:rsid w:val="00F910D1"/>
    <w:rsid w:val="00F91750"/>
    <w:rsid w:val="00F91896"/>
    <w:rsid w:val="00F92334"/>
    <w:rsid w:val="00F961EA"/>
    <w:rsid w:val="00F971BC"/>
    <w:rsid w:val="00FA200D"/>
    <w:rsid w:val="00FA646B"/>
    <w:rsid w:val="00FB1960"/>
    <w:rsid w:val="00FB1FBB"/>
    <w:rsid w:val="00FB3907"/>
    <w:rsid w:val="00FB4824"/>
    <w:rsid w:val="00FB5F83"/>
    <w:rsid w:val="00FC125A"/>
    <w:rsid w:val="00FC18DA"/>
    <w:rsid w:val="00FC1E54"/>
    <w:rsid w:val="00FC2CBB"/>
    <w:rsid w:val="00FD30A9"/>
    <w:rsid w:val="00FD4B91"/>
    <w:rsid w:val="00FD5DCB"/>
    <w:rsid w:val="00FE004A"/>
    <w:rsid w:val="00FE3295"/>
    <w:rsid w:val="00FE4179"/>
    <w:rsid w:val="00FE56B1"/>
    <w:rsid w:val="00FF3B18"/>
    <w:rsid w:val="03CE106F"/>
    <w:rsid w:val="04B814DC"/>
    <w:rsid w:val="0651BFFC"/>
    <w:rsid w:val="070B6B88"/>
    <w:rsid w:val="072C43B1"/>
    <w:rsid w:val="1A8A2632"/>
    <w:rsid w:val="216CDD87"/>
    <w:rsid w:val="222BC7A9"/>
    <w:rsid w:val="22305B30"/>
    <w:rsid w:val="25B3E6CD"/>
    <w:rsid w:val="27B955F2"/>
    <w:rsid w:val="28D27B79"/>
    <w:rsid w:val="2C623F5D"/>
    <w:rsid w:val="2FF5EE48"/>
    <w:rsid w:val="35A201C3"/>
    <w:rsid w:val="3A5927ED"/>
    <w:rsid w:val="45E29F31"/>
    <w:rsid w:val="4EE7042E"/>
    <w:rsid w:val="50B44DAE"/>
    <w:rsid w:val="544E3BA1"/>
    <w:rsid w:val="5C660BC7"/>
    <w:rsid w:val="5EFBAF48"/>
    <w:rsid w:val="6DAEF830"/>
    <w:rsid w:val="7BCE76E9"/>
    <w:rsid w:val="7D65025F"/>
    <w:rsid w:val="7E639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D1118"/>
  <w14:defaultImageDpi w14:val="32767"/>
  <w15:chartTrackingRefBased/>
  <w15:docId w15:val="{20E9C0BC-EDD6-4821-88E2-2817DBDD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96"/>
    <w:rPr>
      <w:rFonts w:ascii="Verdana" w:hAnsi="Verdana" w:cs="Times New Roman"/>
      <w:sz w:val="18"/>
      <w:lang w:eastAsia="en-GB"/>
    </w:rPr>
  </w:style>
  <w:style w:type="paragraph" w:styleId="Heading1">
    <w:name w:val="heading 1"/>
    <w:basedOn w:val="Normal"/>
    <w:next w:val="Normal"/>
    <w:link w:val="Heading1Char"/>
    <w:uiPriority w:val="9"/>
    <w:qFormat/>
    <w:rsid w:val="00DB06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6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49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F47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Voettekst links"/>
    <w:basedOn w:val="Normal"/>
    <w:link w:val="FooterChar"/>
    <w:uiPriority w:val="99"/>
    <w:rsid w:val="005F47D4"/>
    <w:pPr>
      <w:tabs>
        <w:tab w:val="right" w:pos="9072"/>
      </w:tabs>
      <w:ind w:left="170" w:hanging="170"/>
    </w:pPr>
    <w:rPr>
      <w:rFonts w:cstheme="minorBidi"/>
      <w:sz w:val="12"/>
      <w:szCs w:val="12"/>
      <w:lang w:eastAsia="en-US"/>
    </w:rPr>
  </w:style>
  <w:style w:type="character" w:customStyle="1" w:styleId="FooterChar">
    <w:name w:val="Footer Char"/>
    <w:aliases w:val="Voettekst links Char"/>
    <w:basedOn w:val="DefaultParagraphFont"/>
    <w:link w:val="Footer"/>
    <w:uiPriority w:val="99"/>
    <w:rsid w:val="005F47D4"/>
    <w:rPr>
      <w:rFonts w:ascii="Verdana" w:hAnsi="Verdana"/>
      <w:sz w:val="12"/>
      <w:szCs w:val="12"/>
    </w:rPr>
  </w:style>
  <w:style w:type="paragraph" w:customStyle="1" w:styleId="Tussenkop">
    <w:name w:val="Tussenkop"/>
    <w:basedOn w:val="Heading4"/>
    <w:next w:val="Normal"/>
    <w:qFormat/>
    <w:rsid w:val="00675DA7"/>
    <w:pPr>
      <w:tabs>
        <w:tab w:val="left" w:pos="1134"/>
      </w:tabs>
      <w:spacing w:before="0" w:line="260" w:lineRule="exact"/>
    </w:pPr>
    <w:rPr>
      <w:rFonts w:ascii="Verdana" w:hAnsi="Verdana"/>
      <w:b/>
      <w:bCs/>
      <w:i w:val="0"/>
      <w:color w:val="auto"/>
      <w:szCs w:val="17"/>
      <w:lang w:eastAsia="en-US"/>
    </w:rPr>
  </w:style>
  <w:style w:type="table" w:styleId="TableGrid">
    <w:name w:val="Table Grid"/>
    <w:aliases w:val="Kadertabel"/>
    <w:basedOn w:val="TableNormal"/>
    <w:uiPriority w:val="39"/>
    <w:rsid w:val="005F47D4"/>
    <w:pPr>
      <w:spacing w:line="260" w:lineRule="exact"/>
    </w:pPr>
    <w:rPr>
      <w:rFonts w:ascii="Verdana" w:hAnsi="Verdana"/>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character" w:styleId="PageNumber">
    <w:name w:val="page number"/>
    <w:rsid w:val="005F47D4"/>
    <w:rPr>
      <w:sz w:val="20"/>
      <w:szCs w:val="20"/>
      <w:lang w:val="en-GB"/>
    </w:rPr>
  </w:style>
  <w:style w:type="paragraph" w:customStyle="1" w:styleId="KopBijlage">
    <w:name w:val="Kop Bijlage"/>
    <w:basedOn w:val="Normal"/>
    <w:next w:val="Normal"/>
    <w:link w:val="KopBijlageChar"/>
    <w:qFormat/>
    <w:rsid w:val="005F47D4"/>
    <w:pPr>
      <w:pageBreakBefore/>
      <w:numPr>
        <w:numId w:val="1"/>
      </w:numPr>
      <w:tabs>
        <w:tab w:val="left" w:pos="2835"/>
      </w:tabs>
      <w:spacing w:after="1040" w:line="520" w:lineRule="exact"/>
    </w:pPr>
    <w:rPr>
      <w:rFonts w:eastAsia="Times New Roman"/>
      <w:sz w:val="40"/>
      <w:szCs w:val="40"/>
    </w:rPr>
  </w:style>
  <w:style w:type="character" w:customStyle="1" w:styleId="KopBijlageChar">
    <w:name w:val="Kop Bijlage Char"/>
    <w:basedOn w:val="DefaultParagraphFont"/>
    <w:link w:val="KopBijlage"/>
    <w:rsid w:val="005F47D4"/>
    <w:rPr>
      <w:rFonts w:ascii="Verdana" w:eastAsia="Times New Roman" w:hAnsi="Verdana" w:cs="Times New Roman"/>
      <w:sz w:val="40"/>
      <w:szCs w:val="40"/>
      <w:lang w:eastAsia="en-GB"/>
    </w:rPr>
  </w:style>
  <w:style w:type="paragraph" w:customStyle="1" w:styleId="BodyText1">
    <w:name w:val="Body Text1"/>
    <w:basedOn w:val="Normal"/>
    <w:qFormat/>
    <w:rsid w:val="005F47D4"/>
    <w:pPr>
      <w:spacing w:after="120" w:line="260" w:lineRule="exact"/>
    </w:pPr>
    <w:rPr>
      <w:rFonts w:cstheme="minorBidi"/>
      <w:sz w:val="17"/>
      <w:szCs w:val="17"/>
      <w:lang w:eastAsia="en-US"/>
    </w:rPr>
  </w:style>
  <w:style w:type="character" w:customStyle="1" w:styleId="Heading4Char">
    <w:name w:val="Heading 4 Char"/>
    <w:basedOn w:val="DefaultParagraphFont"/>
    <w:link w:val="Heading4"/>
    <w:uiPriority w:val="9"/>
    <w:semiHidden/>
    <w:rsid w:val="005F47D4"/>
    <w:rPr>
      <w:rFonts w:asciiTheme="majorHAnsi" w:eastAsiaTheme="majorEastAsia" w:hAnsiTheme="majorHAnsi" w:cstheme="majorBidi"/>
      <w:i/>
      <w:iCs/>
      <w:color w:val="2F5496" w:themeColor="accent1" w:themeShade="BF"/>
      <w:lang w:eastAsia="en-GB"/>
    </w:rPr>
  </w:style>
  <w:style w:type="paragraph" w:styleId="Header">
    <w:name w:val="header"/>
    <w:basedOn w:val="Normal"/>
    <w:link w:val="HeaderChar"/>
    <w:uiPriority w:val="99"/>
    <w:unhideWhenUsed/>
    <w:rsid w:val="00C93B9D"/>
    <w:pPr>
      <w:tabs>
        <w:tab w:val="center" w:pos="4536"/>
        <w:tab w:val="right" w:pos="9072"/>
      </w:tabs>
    </w:pPr>
  </w:style>
  <w:style w:type="character" w:customStyle="1" w:styleId="HeaderChar">
    <w:name w:val="Header Char"/>
    <w:basedOn w:val="DefaultParagraphFont"/>
    <w:link w:val="Header"/>
    <w:uiPriority w:val="99"/>
    <w:rsid w:val="00C93B9D"/>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56D33"/>
    <w:rPr>
      <w:rFonts w:ascii="Segoe UI" w:hAnsi="Segoe UI" w:cs="Segoe UI"/>
      <w:szCs w:val="18"/>
    </w:rPr>
  </w:style>
  <w:style w:type="character" w:customStyle="1" w:styleId="BalloonTextChar">
    <w:name w:val="Balloon Text Char"/>
    <w:basedOn w:val="DefaultParagraphFont"/>
    <w:link w:val="BalloonText"/>
    <w:uiPriority w:val="99"/>
    <w:semiHidden/>
    <w:rsid w:val="00D56D33"/>
    <w:rPr>
      <w:rFonts w:ascii="Segoe UI" w:hAnsi="Segoe UI" w:cs="Segoe UI"/>
      <w:sz w:val="18"/>
      <w:szCs w:val="18"/>
      <w:lang w:eastAsia="en-GB"/>
    </w:rPr>
  </w:style>
  <w:style w:type="character" w:styleId="CommentReference">
    <w:name w:val="annotation reference"/>
    <w:basedOn w:val="DefaultParagraphFont"/>
    <w:semiHidden/>
    <w:unhideWhenUsed/>
    <w:rsid w:val="00D56D33"/>
    <w:rPr>
      <w:sz w:val="16"/>
      <w:szCs w:val="16"/>
    </w:rPr>
  </w:style>
  <w:style w:type="paragraph" w:styleId="CommentText">
    <w:name w:val="annotation text"/>
    <w:basedOn w:val="Normal"/>
    <w:link w:val="CommentTextChar"/>
    <w:unhideWhenUsed/>
    <w:rsid w:val="00D56D33"/>
    <w:rPr>
      <w:sz w:val="20"/>
      <w:szCs w:val="20"/>
    </w:rPr>
  </w:style>
  <w:style w:type="character" w:customStyle="1" w:styleId="CommentTextChar">
    <w:name w:val="Comment Text Char"/>
    <w:basedOn w:val="DefaultParagraphFont"/>
    <w:link w:val="CommentText"/>
    <w:rsid w:val="00D56D3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D33"/>
    <w:rPr>
      <w:b/>
      <w:bCs/>
    </w:rPr>
  </w:style>
  <w:style w:type="character" w:customStyle="1" w:styleId="CommentSubjectChar">
    <w:name w:val="Comment Subject Char"/>
    <w:basedOn w:val="CommentTextChar"/>
    <w:link w:val="CommentSubject"/>
    <w:uiPriority w:val="99"/>
    <w:semiHidden/>
    <w:rsid w:val="00D56D33"/>
    <w:rPr>
      <w:rFonts w:ascii="Times New Roman" w:hAnsi="Times New Roman" w:cs="Times New Roman"/>
      <w:b/>
      <w:bCs/>
      <w:sz w:val="20"/>
      <w:szCs w:val="20"/>
      <w:lang w:eastAsia="en-GB"/>
    </w:rPr>
  </w:style>
  <w:style w:type="paragraph" w:styleId="Subtitle">
    <w:name w:val="Subtitle"/>
    <w:basedOn w:val="Normal"/>
    <w:link w:val="SubtitleChar"/>
    <w:qFormat/>
    <w:rsid w:val="00774DDD"/>
    <w:pPr>
      <w:tabs>
        <w:tab w:val="left" w:pos="-1440"/>
        <w:tab w:val="left" w:pos="-720"/>
        <w:tab w:val="left" w:pos="828"/>
        <w:tab w:val="left" w:pos="1044"/>
        <w:tab w:val="left" w:pos="1260"/>
        <w:tab w:val="left" w:pos="1476"/>
        <w:tab w:val="left" w:pos="1692"/>
        <w:tab w:val="left" w:pos="2160"/>
      </w:tabs>
      <w:jc w:val="center"/>
    </w:pPr>
    <w:rPr>
      <w:rFonts w:eastAsia="Times New Roman"/>
      <w:b/>
      <w:sz w:val="22"/>
      <w:szCs w:val="20"/>
      <w:lang w:val="fr-FR" w:eastAsia="fr-BE"/>
    </w:rPr>
  </w:style>
  <w:style w:type="character" w:customStyle="1" w:styleId="SubtitleChar">
    <w:name w:val="Subtitle Char"/>
    <w:basedOn w:val="DefaultParagraphFont"/>
    <w:link w:val="Subtitle"/>
    <w:rsid w:val="00774DDD"/>
    <w:rPr>
      <w:rFonts w:ascii="Times New Roman" w:eastAsia="Times New Roman" w:hAnsi="Times New Roman" w:cs="Times New Roman"/>
      <w:b/>
      <w:sz w:val="22"/>
      <w:szCs w:val="20"/>
      <w:lang w:val="fr-FR" w:eastAsia="fr-BE"/>
    </w:rPr>
  </w:style>
  <w:style w:type="paragraph" w:styleId="PlainText">
    <w:name w:val="Plain Text"/>
    <w:basedOn w:val="Normal"/>
    <w:link w:val="PlainTextChar"/>
    <w:uiPriority w:val="99"/>
    <w:rsid w:val="007A19E9"/>
    <w:rPr>
      <w:rFonts w:ascii="Courier New" w:eastAsia="Times New Roman" w:hAnsi="Courier New" w:cs="Courier New"/>
      <w:sz w:val="20"/>
      <w:szCs w:val="20"/>
      <w:lang w:eastAsia="fr-FR"/>
    </w:rPr>
  </w:style>
  <w:style w:type="character" w:customStyle="1" w:styleId="PlainTextChar">
    <w:name w:val="Plain Text Char"/>
    <w:basedOn w:val="DefaultParagraphFont"/>
    <w:link w:val="PlainText"/>
    <w:uiPriority w:val="99"/>
    <w:rsid w:val="007A19E9"/>
    <w:rPr>
      <w:rFonts w:ascii="Courier New" w:eastAsia="Times New Roman" w:hAnsi="Courier New" w:cs="Courier New"/>
      <w:sz w:val="20"/>
      <w:szCs w:val="20"/>
      <w:lang w:eastAsia="fr-FR"/>
    </w:rPr>
  </w:style>
  <w:style w:type="paragraph" w:styleId="ListParagraph">
    <w:name w:val="List Paragraph"/>
    <w:aliases w:val="Citation List,본문(내용),List Paragraph (numbered (a)),Colorful List - Accent 11,heading 6,List Paragraph1,Bullets,Tableau Adere,Lapis Bulleted List,Dot pt,F5 List Paragraph,No Spacing1,List Paragraph Char Char Char,Indicator Text,Bullet 1,Ha"/>
    <w:basedOn w:val="Normal"/>
    <w:link w:val="ListParagraphChar"/>
    <w:uiPriority w:val="34"/>
    <w:qFormat/>
    <w:rsid w:val="00777D18"/>
    <w:pPr>
      <w:ind w:left="720"/>
      <w:contextualSpacing/>
    </w:pPr>
  </w:style>
  <w:style w:type="character" w:styleId="Hyperlink">
    <w:name w:val="Hyperlink"/>
    <w:basedOn w:val="DefaultParagraphFont"/>
    <w:uiPriority w:val="99"/>
    <w:unhideWhenUsed/>
    <w:rsid w:val="005F528A"/>
    <w:rPr>
      <w:color w:val="0563C1" w:themeColor="hyperlink"/>
      <w:u w:val="single"/>
    </w:rPr>
  </w:style>
  <w:style w:type="paragraph" w:styleId="Revision">
    <w:name w:val="Revision"/>
    <w:hidden/>
    <w:uiPriority w:val="99"/>
    <w:semiHidden/>
    <w:rsid w:val="008619E1"/>
    <w:rPr>
      <w:rFonts w:ascii="Times New Roman" w:hAnsi="Times New Roman" w:cs="Times New Roman"/>
      <w:lang w:eastAsia="en-GB"/>
    </w:rPr>
  </w:style>
  <w:style w:type="paragraph" w:customStyle="1" w:styleId="Default">
    <w:name w:val="Default"/>
    <w:rsid w:val="002C54E3"/>
    <w:pPr>
      <w:autoSpaceDE w:val="0"/>
      <w:autoSpaceDN w:val="0"/>
      <w:adjustRightInd w:val="0"/>
    </w:pPr>
    <w:rPr>
      <w:rFonts w:ascii="Verdana" w:hAnsi="Verdana" w:cs="Verdana"/>
      <w:color w:val="000000"/>
    </w:rPr>
  </w:style>
  <w:style w:type="character" w:styleId="Strong">
    <w:name w:val="Strong"/>
    <w:basedOn w:val="DefaultParagraphFont"/>
    <w:uiPriority w:val="22"/>
    <w:qFormat/>
    <w:rsid w:val="00BF4D6D"/>
    <w:rPr>
      <w:b/>
      <w:bCs/>
    </w:rPr>
  </w:style>
  <w:style w:type="paragraph" w:styleId="NormalWeb">
    <w:name w:val="Normal (Web)"/>
    <w:basedOn w:val="Normal"/>
    <w:uiPriority w:val="99"/>
    <w:unhideWhenUsed/>
    <w:rsid w:val="00380FB8"/>
    <w:pPr>
      <w:spacing w:before="100" w:beforeAutospacing="1" w:after="100" w:afterAutospacing="1"/>
    </w:pPr>
    <w:rPr>
      <w:rFonts w:eastAsia="Times New Roman"/>
      <w:lang w:val="en-US" w:eastAsia="en-US"/>
    </w:rPr>
  </w:style>
  <w:style w:type="character" w:customStyle="1" w:styleId="ListParagraphChar">
    <w:name w:val="List Paragraph Char"/>
    <w:aliases w:val="Citation List Char,본문(내용) Char,List Paragraph (numbered (a)) Char,Colorful List - Accent 11 Char,heading 6 Char,List Paragraph1 Char,Bullets Char,Tableau Adere Char,Lapis Bulleted List Char,Dot pt Char,F5 List Paragraph Char,Ha Char"/>
    <w:basedOn w:val="DefaultParagraphFont"/>
    <w:link w:val="ListParagraph"/>
    <w:uiPriority w:val="34"/>
    <w:qFormat/>
    <w:rsid w:val="001A2454"/>
    <w:rPr>
      <w:rFonts w:ascii="Times New Roman" w:hAnsi="Times New Roman" w:cs="Times New Roman"/>
      <w:lang w:eastAsia="en-GB"/>
    </w:rPr>
  </w:style>
  <w:style w:type="table" w:customStyle="1" w:styleId="TableGridLight1">
    <w:name w:val="Table Grid Light1"/>
    <w:basedOn w:val="TableNormal"/>
    <w:uiPriority w:val="40"/>
    <w:rsid w:val="00DC0001"/>
    <w:rPr>
      <w:rFonts w:ascii="Times New Roman" w:eastAsia="Times New Roman" w:hAnsi="Times New Roman" w:cs="Times New Roman"/>
      <w:sz w:val="20"/>
      <w:szCs w:val="20"/>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B06E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DB06EF"/>
    <w:rPr>
      <w:rFonts w:asciiTheme="majorHAnsi" w:eastAsiaTheme="majorEastAsia" w:hAnsiTheme="majorHAnsi" w:cstheme="majorBidi"/>
      <w:color w:val="2F5496" w:themeColor="accent1" w:themeShade="BF"/>
      <w:sz w:val="26"/>
      <w:szCs w:val="26"/>
      <w:lang w:eastAsia="en-GB"/>
    </w:rPr>
  </w:style>
  <w:style w:type="paragraph" w:styleId="BodyText">
    <w:name w:val="Body Text"/>
    <w:basedOn w:val="Normal"/>
    <w:link w:val="BodyTextChar"/>
    <w:rsid w:val="00DB06EF"/>
    <w:pPr>
      <w:tabs>
        <w:tab w:val="left" w:pos="0"/>
      </w:tabs>
    </w:pPr>
    <w:rPr>
      <w:rFonts w:eastAsia="Times New Roman"/>
      <w:color w:val="FF0000"/>
      <w:sz w:val="22"/>
      <w:szCs w:val="20"/>
      <w:lang w:val="en-US" w:eastAsia="en-US"/>
    </w:rPr>
  </w:style>
  <w:style w:type="character" w:customStyle="1" w:styleId="BodyTextChar">
    <w:name w:val="Body Text Char"/>
    <w:basedOn w:val="DefaultParagraphFont"/>
    <w:link w:val="BodyText"/>
    <w:rsid w:val="00DB06EF"/>
    <w:rPr>
      <w:rFonts w:ascii="Times New Roman" w:eastAsia="Times New Roman" w:hAnsi="Times New Roman" w:cs="Times New Roman"/>
      <w:color w:val="FF0000"/>
      <w:sz w:val="22"/>
      <w:szCs w:val="20"/>
      <w:lang w:val="en-US"/>
    </w:rPr>
  </w:style>
  <w:style w:type="paragraph" w:styleId="BodyTextIndent2">
    <w:name w:val="Body Text Indent 2"/>
    <w:basedOn w:val="Normal"/>
    <w:link w:val="BodyTextIndent2Char"/>
    <w:rsid w:val="00DB0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G Times" w:eastAsia="Times New Roman" w:hAnsi="CG Times"/>
      <w:szCs w:val="20"/>
      <w:lang w:val="en-US" w:eastAsia="en-US"/>
    </w:rPr>
  </w:style>
  <w:style w:type="character" w:customStyle="1" w:styleId="BodyTextIndent2Char">
    <w:name w:val="Body Text Indent 2 Char"/>
    <w:basedOn w:val="DefaultParagraphFont"/>
    <w:link w:val="BodyTextIndent2"/>
    <w:rsid w:val="00DB06EF"/>
    <w:rPr>
      <w:rFonts w:ascii="CG Times" w:eastAsia="Times New Roman" w:hAnsi="CG Times" w:cs="Times New Roman"/>
      <w:szCs w:val="20"/>
      <w:lang w:val="en-US"/>
    </w:rPr>
  </w:style>
  <w:style w:type="character" w:customStyle="1" w:styleId="Heading3Char">
    <w:name w:val="Heading 3 Char"/>
    <w:basedOn w:val="DefaultParagraphFont"/>
    <w:link w:val="Heading3"/>
    <w:uiPriority w:val="9"/>
    <w:semiHidden/>
    <w:rsid w:val="001F4916"/>
    <w:rPr>
      <w:rFonts w:asciiTheme="majorHAnsi" w:eastAsiaTheme="majorEastAsia" w:hAnsiTheme="majorHAnsi" w:cstheme="majorBidi"/>
      <w:color w:val="1F3763" w:themeColor="accent1" w:themeShade="7F"/>
      <w:lang w:eastAsia="en-GB"/>
    </w:rPr>
  </w:style>
  <w:style w:type="paragraph" w:styleId="BodyTextIndent">
    <w:name w:val="Body Text Indent"/>
    <w:basedOn w:val="Normal"/>
    <w:link w:val="BodyTextIndentChar"/>
    <w:uiPriority w:val="99"/>
    <w:semiHidden/>
    <w:unhideWhenUsed/>
    <w:rsid w:val="002871F0"/>
    <w:pPr>
      <w:spacing w:after="120"/>
      <w:ind w:left="283"/>
    </w:pPr>
  </w:style>
  <w:style w:type="character" w:customStyle="1" w:styleId="BodyTextIndentChar">
    <w:name w:val="Body Text Indent Char"/>
    <w:basedOn w:val="DefaultParagraphFont"/>
    <w:link w:val="BodyTextIndent"/>
    <w:uiPriority w:val="99"/>
    <w:semiHidden/>
    <w:rsid w:val="002871F0"/>
    <w:rPr>
      <w:rFonts w:ascii="Times New Roman" w:hAnsi="Times New Roman" w:cs="Times New Roman"/>
      <w:lang w:eastAsia="en-GB"/>
    </w:rPr>
  </w:style>
  <w:style w:type="character" w:customStyle="1" w:styleId="UnresolvedMention1">
    <w:name w:val="Unresolved Mention1"/>
    <w:basedOn w:val="DefaultParagraphFont"/>
    <w:uiPriority w:val="99"/>
    <w:semiHidden/>
    <w:unhideWhenUsed/>
    <w:rsid w:val="00BF28AC"/>
    <w:rPr>
      <w:color w:val="605E5C"/>
      <w:shd w:val="clear" w:color="auto" w:fill="E1DFDD"/>
    </w:rPr>
  </w:style>
  <w:style w:type="paragraph" w:customStyle="1" w:styleId="BodyText22">
    <w:name w:val="Body Text 22"/>
    <w:basedOn w:val="Normal"/>
    <w:rsid w:val="00880EB6"/>
    <w:pPr>
      <w:widowControl w:val="0"/>
      <w:ind w:left="737"/>
    </w:pPr>
    <w:rPr>
      <w:rFonts w:ascii="Courier" w:eastAsia="Times New Roman" w:hAnsi="Courier"/>
      <w:sz w:val="22"/>
      <w:szCs w:val="20"/>
      <w:lang w:val="en-US" w:eastAsia="en-US"/>
    </w:rPr>
  </w:style>
  <w:style w:type="character" w:styleId="FollowedHyperlink">
    <w:name w:val="FollowedHyperlink"/>
    <w:basedOn w:val="DefaultParagraphFont"/>
    <w:uiPriority w:val="99"/>
    <w:semiHidden/>
    <w:unhideWhenUsed/>
    <w:rsid w:val="00880EB6"/>
    <w:rPr>
      <w:color w:val="954F72" w:themeColor="followedHyperlink"/>
      <w:u w:val="single"/>
    </w:rPr>
  </w:style>
  <w:style w:type="table" w:customStyle="1" w:styleId="TableGrid1">
    <w:name w:val="Table Grid1"/>
    <w:basedOn w:val="TableNormal"/>
    <w:next w:val="TableGrid"/>
    <w:rsid w:val="00E41F0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0DF5"/>
    <w:rPr>
      <w:sz w:val="22"/>
      <w:szCs w:val="22"/>
    </w:rPr>
  </w:style>
  <w:style w:type="table" w:styleId="ListTable7Colorful-Accent5">
    <w:name w:val="List Table 7 Colorful Accent 5"/>
    <w:basedOn w:val="TableNormal"/>
    <w:uiPriority w:val="52"/>
    <w:rsid w:val="00533A50"/>
    <w:rPr>
      <w:color w:val="2E74B5" w:themeColor="accent5" w:themeShade="BF"/>
      <w:sz w:val="22"/>
      <w:szCs w:val="22"/>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984">
      <w:bodyDiv w:val="1"/>
      <w:marLeft w:val="0"/>
      <w:marRight w:val="0"/>
      <w:marTop w:val="0"/>
      <w:marBottom w:val="0"/>
      <w:divBdr>
        <w:top w:val="none" w:sz="0" w:space="0" w:color="auto"/>
        <w:left w:val="none" w:sz="0" w:space="0" w:color="auto"/>
        <w:bottom w:val="none" w:sz="0" w:space="0" w:color="auto"/>
        <w:right w:val="none" w:sz="0" w:space="0" w:color="auto"/>
      </w:divBdr>
      <w:divsChild>
        <w:div w:id="308294133">
          <w:marLeft w:val="0"/>
          <w:marRight w:val="0"/>
          <w:marTop w:val="0"/>
          <w:marBottom w:val="0"/>
          <w:divBdr>
            <w:top w:val="none" w:sz="0" w:space="0" w:color="auto"/>
            <w:left w:val="none" w:sz="0" w:space="0" w:color="auto"/>
            <w:bottom w:val="none" w:sz="0" w:space="0" w:color="auto"/>
            <w:right w:val="none" w:sz="0" w:space="0" w:color="auto"/>
          </w:divBdr>
          <w:divsChild>
            <w:div w:id="1941450148">
              <w:marLeft w:val="0"/>
              <w:marRight w:val="0"/>
              <w:marTop w:val="0"/>
              <w:marBottom w:val="0"/>
              <w:divBdr>
                <w:top w:val="none" w:sz="0" w:space="0" w:color="auto"/>
                <w:left w:val="none" w:sz="0" w:space="0" w:color="auto"/>
                <w:bottom w:val="none" w:sz="0" w:space="0" w:color="auto"/>
                <w:right w:val="none" w:sz="0" w:space="0" w:color="auto"/>
              </w:divBdr>
              <w:divsChild>
                <w:div w:id="189876341">
                  <w:marLeft w:val="0"/>
                  <w:marRight w:val="0"/>
                  <w:marTop w:val="0"/>
                  <w:marBottom w:val="0"/>
                  <w:divBdr>
                    <w:top w:val="none" w:sz="0" w:space="0" w:color="auto"/>
                    <w:left w:val="none" w:sz="0" w:space="0" w:color="auto"/>
                    <w:bottom w:val="none" w:sz="0" w:space="0" w:color="auto"/>
                    <w:right w:val="none" w:sz="0" w:space="0" w:color="auto"/>
                  </w:divBdr>
                </w:div>
                <w:div w:id="11867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26">
      <w:bodyDiv w:val="1"/>
      <w:marLeft w:val="0"/>
      <w:marRight w:val="0"/>
      <w:marTop w:val="0"/>
      <w:marBottom w:val="0"/>
      <w:divBdr>
        <w:top w:val="none" w:sz="0" w:space="0" w:color="auto"/>
        <w:left w:val="none" w:sz="0" w:space="0" w:color="auto"/>
        <w:bottom w:val="none" w:sz="0" w:space="0" w:color="auto"/>
        <w:right w:val="none" w:sz="0" w:space="0" w:color="auto"/>
      </w:divBdr>
    </w:div>
    <w:div w:id="492531515">
      <w:bodyDiv w:val="1"/>
      <w:marLeft w:val="0"/>
      <w:marRight w:val="0"/>
      <w:marTop w:val="0"/>
      <w:marBottom w:val="0"/>
      <w:divBdr>
        <w:top w:val="none" w:sz="0" w:space="0" w:color="auto"/>
        <w:left w:val="none" w:sz="0" w:space="0" w:color="auto"/>
        <w:bottom w:val="none" w:sz="0" w:space="0" w:color="auto"/>
        <w:right w:val="none" w:sz="0" w:space="0" w:color="auto"/>
      </w:divBdr>
    </w:div>
    <w:div w:id="794179411">
      <w:bodyDiv w:val="1"/>
      <w:marLeft w:val="0"/>
      <w:marRight w:val="0"/>
      <w:marTop w:val="0"/>
      <w:marBottom w:val="0"/>
      <w:divBdr>
        <w:top w:val="none" w:sz="0" w:space="0" w:color="auto"/>
        <w:left w:val="none" w:sz="0" w:space="0" w:color="auto"/>
        <w:bottom w:val="none" w:sz="0" w:space="0" w:color="auto"/>
        <w:right w:val="none" w:sz="0" w:space="0" w:color="auto"/>
      </w:divBdr>
    </w:div>
    <w:div w:id="828326420">
      <w:bodyDiv w:val="1"/>
      <w:marLeft w:val="0"/>
      <w:marRight w:val="0"/>
      <w:marTop w:val="0"/>
      <w:marBottom w:val="0"/>
      <w:divBdr>
        <w:top w:val="none" w:sz="0" w:space="0" w:color="auto"/>
        <w:left w:val="none" w:sz="0" w:space="0" w:color="auto"/>
        <w:bottom w:val="none" w:sz="0" w:space="0" w:color="auto"/>
        <w:right w:val="none" w:sz="0" w:space="0" w:color="auto"/>
      </w:divBdr>
    </w:div>
    <w:div w:id="951593875">
      <w:bodyDiv w:val="1"/>
      <w:marLeft w:val="0"/>
      <w:marRight w:val="0"/>
      <w:marTop w:val="0"/>
      <w:marBottom w:val="0"/>
      <w:divBdr>
        <w:top w:val="none" w:sz="0" w:space="0" w:color="auto"/>
        <w:left w:val="none" w:sz="0" w:space="0" w:color="auto"/>
        <w:bottom w:val="none" w:sz="0" w:space="0" w:color="auto"/>
        <w:right w:val="none" w:sz="0" w:space="0" w:color="auto"/>
      </w:divBdr>
    </w:div>
    <w:div w:id="1135873286">
      <w:bodyDiv w:val="1"/>
      <w:marLeft w:val="0"/>
      <w:marRight w:val="0"/>
      <w:marTop w:val="0"/>
      <w:marBottom w:val="0"/>
      <w:divBdr>
        <w:top w:val="none" w:sz="0" w:space="0" w:color="auto"/>
        <w:left w:val="none" w:sz="0" w:space="0" w:color="auto"/>
        <w:bottom w:val="none" w:sz="0" w:space="0" w:color="auto"/>
        <w:right w:val="none" w:sz="0" w:space="0" w:color="auto"/>
      </w:divBdr>
    </w:div>
    <w:div w:id="1151948755">
      <w:bodyDiv w:val="1"/>
      <w:marLeft w:val="0"/>
      <w:marRight w:val="0"/>
      <w:marTop w:val="0"/>
      <w:marBottom w:val="0"/>
      <w:divBdr>
        <w:top w:val="none" w:sz="0" w:space="0" w:color="auto"/>
        <w:left w:val="none" w:sz="0" w:space="0" w:color="auto"/>
        <w:bottom w:val="none" w:sz="0" w:space="0" w:color="auto"/>
        <w:right w:val="none" w:sz="0" w:space="0" w:color="auto"/>
      </w:divBdr>
      <w:divsChild>
        <w:div w:id="634675175">
          <w:marLeft w:val="0"/>
          <w:marRight w:val="0"/>
          <w:marTop w:val="0"/>
          <w:marBottom w:val="0"/>
          <w:divBdr>
            <w:top w:val="none" w:sz="0" w:space="0" w:color="auto"/>
            <w:left w:val="none" w:sz="0" w:space="0" w:color="auto"/>
            <w:bottom w:val="none" w:sz="0" w:space="0" w:color="auto"/>
            <w:right w:val="none" w:sz="0" w:space="0" w:color="auto"/>
          </w:divBdr>
          <w:divsChild>
            <w:div w:id="504133364">
              <w:marLeft w:val="0"/>
              <w:marRight w:val="0"/>
              <w:marTop w:val="0"/>
              <w:marBottom w:val="0"/>
              <w:divBdr>
                <w:top w:val="none" w:sz="0" w:space="0" w:color="auto"/>
                <w:left w:val="none" w:sz="0" w:space="0" w:color="auto"/>
                <w:bottom w:val="none" w:sz="0" w:space="0" w:color="auto"/>
                <w:right w:val="none" w:sz="0" w:space="0" w:color="auto"/>
              </w:divBdr>
              <w:divsChild>
                <w:div w:id="639069633">
                  <w:marLeft w:val="0"/>
                  <w:marRight w:val="0"/>
                  <w:marTop w:val="0"/>
                  <w:marBottom w:val="0"/>
                  <w:divBdr>
                    <w:top w:val="none" w:sz="0" w:space="0" w:color="auto"/>
                    <w:left w:val="none" w:sz="0" w:space="0" w:color="auto"/>
                    <w:bottom w:val="none" w:sz="0" w:space="0" w:color="auto"/>
                    <w:right w:val="none" w:sz="0" w:space="0" w:color="auto"/>
                  </w:divBdr>
                </w:div>
                <w:div w:id="21266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7169">
      <w:bodyDiv w:val="1"/>
      <w:marLeft w:val="0"/>
      <w:marRight w:val="0"/>
      <w:marTop w:val="0"/>
      <w:marBottom w:val="0"/>
      <w:divBdr>
        <w:top w:val="none" w:sz="0" w:space="0" w:color="auto"/>
        <w:left w:val="none" w:sz="0" w:space="0" w:color="auto"/>
        <w:bottom w:val="none" w:sz="0" w:space="0" w:color="auto"/>
        <w:right w:val="none" w:sz="0" w:space="0" w:color="auto"/>
      </w:divBdr>
    </w:div>
    <w:div w:id="1369378300">
      <w:bodyDiv w:val="1"/>
      <w:marLeft w:val="0"/>
      <w:marRight w:val="0"/>
      <w:marTop w:val="0"/>
      <w:marBottom w:val="0"/>
      <w:divBdr>
        <w:top w:val="none" w:sz="0" w:space="0" w:color="auto"/>
        <w:left w:val="none" w:sz="0" w:space="0" w:color="auto"/>
        <w:bottom w:val="none" w:sz="0" w:space="0" w:color="auto"/>
        <w:right w:val="none" w:sz="0" w:space="0" w:color="auto"/>
      </w:divBdr>
      <w:divsChild>
        <w:div w:id="1760323563">
          <w:marLeft w:val="0"/>
          <w:marRight w:val="0"/>
          <w:marTop w:val="0"/>
          <w:marBottom w:val="0"/>
          <w:divBdr>
            <w:top w:val="none" w:sz="0" w:space="0" w:color="auto"/>
            <w:left w:val="none" w:sz="0" w:space="0" w:color="auto"/>
            <w:bottom w:val="none" w:sz="0" w:space="0" w:color="auto"/>
            <w:right w:val="none" w:sz="0" w:space="0" w:color="auto"/>
          </w:divBdr>
          <w:divsChild>
            <w:div w:id="2056849525">
              <w:marLeft w:val="0"/>
              <w:marRight w:val="0"/>
              <w:marTop w:val="0"/>
              <w:marBottom w:val="0"/>
              <w:divBdr>
                <w:top w:val="none" w:sz="0" w:space="0" w:color="auto"/>
                <w:left w:val="none" w:sz="0" w:space="0" w:color="auto"/>
                <w:bottom w:val="none" w:sz="0" w:space="0" w:color="auto"/>
                <w:right w:val="none" w:sz="0" w:space="0" w:color="auto"/>
              </w:divBdr>
              <w:divsChild>
                <w:div w:id="1457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andatenders@snv.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2\Downloads\D.%20Consultancy%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5F95F648205A4FAD58714BD531AF26" ma:contentTypeVersion="15" ma:contentTypeDescription="Create a new document." ma:contentTypeScope="" ma:versionID="62721eb75ac682e72605b715d7f8f4b5">
  <xsd:schema xmlns:xsd="http://www.w3.org/2001/XMLSchema" xmlns:xs="http://www.w3.org/2001/XMLSchema" xmlns:p="http://schemas.microsoft.com/office/2006/metadata/properties" xmlns:ns3="12754879-8a1a-45dc-a897-2e12f13fe1dc" targetNamespace="http://schemas.microsoft.com/office/2006/metadata/properties" ma:root="true" ma:fieldsID="f4f2101366114f55134928fa47b87423" ns3:_="">
    <xsd:import namespace="12754879-8a1a-45dc-a897-2e12f13fe1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54879-8a1a-45dc-a897-2e12f13fe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d7329dd-438a-4558-bb02-8c32828ba005"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006B6-D063-4306-9BB2-47ED0472F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2C5C3-5960-45C0-95BE-5EFEFA360C53}">
  <ds:schemaRefs>
    <ds:schemaRef ds:uri="http://schemas.openxmlformats.org/officeDocument/2006/bibliography"/>
  </ds:schemaRefs>
</ds:datastoreItem>
</file>

<file path=customXml/itemProps3.xml><?xml version="1.0" encoding="utf-8"?>
<ds:datastoreItem xmlns:ds="http://schemas.openxmlformats.org/officeDocument/2006/customXml" ds:itemID="{CAE44ACE-1258-4398-9E42-EB7BB4EF0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54879-8a1a-45dc-a897-2e12f13fe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00EB6-C17D-4F27-B7B5-779B47486AC1}">
  <ds:schemaRefs>
    <ds:schemaRef ds:uri="Microsoft.SharePoint.Taxonomy.ContentTypeSync"/>
  </ds:schemaRefs>
</ds:datastoreItem>
</file>

<file path=customXml/itemProps5.xml><?xml version="1.0" encoding="utf-8"?>
<ds:datastoreItem xmlns:ds="http://schemas.openxmlformats.org/officeDocument/2006/customXml" ds:itemID="{CE5B374F-8C5D-46A0-8A70-B6F5157B2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 Consultancy Agreement</Template>
  <TotalTime>4</TotalTime>
  <Pages>6</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 Consultancy Agreement</vt:lpstr>
    </vt:vector>
  </TitlesOfParts>
  <Company>Wageningen University and Research</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Consultancy Agreement</dc:title>
  <dc:subject/>
  <dc:creator>Pheonah Omach</dc:creator>
  <cp:keywords/>
  <dc:description/>
  <cp:lastModifiedBy>Kibinduula, Emanuel</cp:lastModifiedBy>
  <cp:revision>3</cp:revision>
  <cp:lastPrinted>2022-04-01T09:17:00Z</cp:lastPrinted>
  <dcterms:created xsi:type="dcterms:W3CDTF">2022-11-17T14:18:00Z</dcterms:created>
  <dcterms:modified xsi:type="dcterms:W3CDTF">2022-11-17T14:18:00Z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0x010100A85F95F648205A4FAD58714BD531AF26</vt:lpwstr>
  </property>
  <property fmtid="{D5CDD505-2E9C-101B-9397-08002B2CF9AE}" pid="3" name="Procedure">
    <vt:lpwstr/>
  </property>
  <property fmtid="{D5CDD505-2E9C-101B-9397-08002B2CF9AE}" pid="4" name="fa9eb757bb26455fa833eacb309c3afd">
    <vt:lpwstr>Contracting and Procurement|ea022357-5ec6-4f8b-a8b9-439d5a604ba1</vt:lpwstr>
  </property>
  <property fmtid="{D5CDD505-2E9C-101B-9397-08002B2CF9AE}" pid="5" name="i2803edeca134f31a13fdb8b3b4be34d">
    <vt:lpwstr>GLOBAL|b0a6a583-46b6-4300-97aa-e8b4e913125d</vt:lpwstr>
  </property>
  <property fmtid="{D5CDD505-2E9C-101B-9397-08002B2CF9AE}" pid="6" name="TaxCatchAll">
    <vt:lpwstr>8;#GLOBAL|b0a6a583-46b6-4300-97aa-e8b4e913125d;#10;#Contracting and Procurement|ea022357-5ec6-4f8b-a8b9-439d5a604ba1;#1;#Policy-House|12bc0a47-68e2-494a-a3d9-9312e8e412b4</vt:lpwstr>
  </property>
  <property fmtid="{D5CDD505-2E9C-101B-9397-08002B2CF9AE}" pid="7" name="OrgUnit">
    <vt:lpwstr>1;#Policy-House|12bc0a47-68e2-494a-a3d9-9312e8e412b4</vt:lpwstr>
  </property>
  <property fmtid="{D5CDD505-2E9C-101B-9397-08002B2CF9AE}" pid="8" name="d57ad63fa78849afa577c8c887712ecc">
    <vt:lpwstr>Policy-House|12bc0a47-68e2-494a-a3d9-9312e8e412b4</vt:lpwstr>
  </property>
  <property fmtid="{D5CDD505-2E9C-101B-9397-08002B2CF9AE}" pid="9" name="Approved">
    <vt:lpwstr>Approved</vt:lpwstr>
  </property>
  <property fmtid="{D5CDD505-2E9C-101B-9397-08002B2CF9AE}" pid="10" name="Country">
    <vt:lpwstr>8;#GLOBAL|b0a6a583-46b6-4300-97aa-e8b4e913125d</vt:lpwstr>
  </property>
  <property fmtid="{D5CDD505-2E9C-101B-9397-08002B2CF9AE}" pid="11" name="Policy-area">
    <vt:lpwstr>10;#Contracting and Procurement|ea022357-5ec6-4f8b-a8b9-439d5a604ba1</vt:lpwstr>
  </property>
  <property fmtid="{D5CDD505-2E9C-101B-9397-08002B2CF9AE}" pid="12" name="Topics">
    <vt:lpwstr/>
  </property>
  <property fmtid="{D5CDD505-2E9C-101B-9397-08002B2CF9AE}" pid="13" name="adb6d10904b34eeda4b6f1de5c5619de">
    <vt:lpwstr/>
  </property>
  <property fmtid="{D5CDD505-2E9C-101B-9397-08002B2CF9AE}" pid="14" name="n73fe00915e047b9b000031da954def1">
    <vt:lpwstr/>
  </property>
  <property fmtid="{D5CDD505-2E9C-101B-9397-08002B2CF9AE}" pid="15" name="Approval">
    <vt:lpwstr>https://snvworld.sharepoint.com/teams/policy/_layouts/15/wrkstat.aspx?List=6e9df7da-71a9-4941-97a7-53142a9f273d&amp;WorkflowInstanceName=f4b72316-dfe4-4e97-91e7-26c5860e0acd, Completed</vt:lpwstr>
  </property>
  <property fmtid="{D5CDD505-2E9C-101B-9397-08002B2CF9AE}" pid="16" name="Action">
    <vt:lpwstr>Change properties</vt:lpwstr>
  </property>
</Properties>
</file>