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D314" w14:textId="77777777" w:rsidR="00E42419" w:rsidRDefault="00E42419" w:rsidP="005B0685">
      <w:pPr>
        <w:spacing w:line="240" w:lineRule="auto"/>
        <w:jc w:val="center"/>
        <w:rPr>
          <w:rFonts w:ascii="VAGRounded LT Black" w:hAnsi="VAGRounded LT Black"/>
          <w:b/>
          <w:bCs/>
          <w:color w:val="00B0F0"/>
          <w:sz w:val="28"/>
          <w:szCs w:val="28"/>
        </w:rPr>
      </w:pPr>
    </w:p>
    <w:p w14:paraId="70D49BEA" w14:textId="228BA47B" w:rsidR="00255E22" w:rsidRPr="00074C9E" w:rsidRDefault="00F47F70" w:rsidP="005B0685">
      <w:pPr>
        <w:spacing w:line="240" w:lineRule="auto"/>
        <w:jc w:val="center"/>
        <w:rPr>
          <w:rFonts w:ascii="VAGRounded LT Black" w:hAnsi="VAGRounded LT Black"/>
          <w:b/>
          <w:bCs/>
          <w:color w:val="00B0F0"/>
          <w:sz w:val="28"/>
          <w:szCs w:val="28"/>
        </w:rPr>
      </w:pPr>
      <w:r w:rsidRPr="00074C9E">
        <w:rPr>
          <w:rFonts w:ascii="VAGRounded LT Black" w:hAnsi="VAGRounded LT Black"/>
          <w:b/>
          <w:bCs/>
          <w:color w:val="00B0F0"/>
          <w:sz w:val="28"/>
          <w:szCs w:val="28"/>
        </w:rPr>
        <w:t xml:space="preserve">Market Development Fund (MDF) Investment Advisory Committee (IAC) </w:t>
      </w:r>
      <w:r w:rsidR="00255E22" w:rsidRPr="00074C9E">
        <w:rPr>
          <w:rFonts w:ascii="VAGRounded LT Black" w:hAnsi="VAGRounded LT Black"/>
          <w:b/>
          <w:bCs/>
          <w:color w:val="00B0F0"/>
          <w:sz w:val="28"/>
          <w:szCs w:val="28"/>
        </w:rPr>
        <w:t>Terms of Reference</w:t>
      </w:r>
      <w:r w:rsidRPr="00074C9E">
        <w:rPr>
          <w:rFonts w:ascii="VAGRounded LT Black" w:hAnsi="VAGRounded LT Black"/>
          <w:b/>
          <w:bCs/>
          <w:color w:val="00B0F0"/>
          <w:sz w:val="28"/>
          <w:szCs w:val="28"/>
        </w:rPr>
        <w:t xml:space="preserve">- </w:t>
      </w:r>
      <w:r w:rsidR="000F5857">
        <w:rPr>
          <w:rFonts w:ascii="VAGRounded LT Black" w:hAnsi="VAGRounded LT Black"/>
          <w:b/>
          <w:bCs/>
          <w:color w:val="00B0F0"/>
          <w:sz w:val="28"/>
          <w:szCs w:val="28"/>
        </w:rPr>
        <w:t>Agribusiness</w:t>
      </w:r>
      <w:r w:rsidRPr="00074C9E">
        <w:rPr>
          <w:rFonts w:ascii="VAGRounded LT Black" w:hAnsi="VAGRounded LT Black"/>
          <w:b/>
          <w:bCs/>
          <w:color w:val="00B0F0"/>
          <w:sz w:val="28"/>
          <w:szCs w:val="28"/>
        </w:rPr>
        <w:t xml:space="preserve"> Expert </w:t>
      </w:r>
    </w:p>
    <w:p w14:paraId="28CAB0B0" w14:textId="77777777" w:rsidR="00255E22" w:rsidRPr="0097372A" w:rsidRDefault="00255E22" w:rsidP="005B0685">
      <w:pPr>
        <w:spacing w:line="240" w:lineRule="auto"/>
        <w:jc w:val="both"/>
        <w:rPr>
          <w:b/>
          <w:bCs/>
          <w:color w:val="00B0F0"/>
          <w:sz w:val="22"/>
        </w:rPr>
      </w:pPr>
    </w:p>
    <w:p w14:paraId="0B9D849E" w14:textId="77777777" w:rsidR="00074C9E" w:rsidRDefault="00074C9E" w:rsidP="005B0685">
      <w:pPr>
        <w:spacing w:line="240" w:lineRule="auto"/>
        <w:jc w:val="both"/>
        <w:rPr>
          <w:b/>
          <w:bCs/>
          <w:color w:val="00B0F0"/>
          <w:sz w:val="22"/>
        </w:rPr>
      </w:pPr>
    </w:p>
    <w:p w14:paraId="28132121" w14:textId="03D48922" w:rsidR="00255E22" w:rsidRPr="00FB1EEF" w:rsidRDefault="00255E22" w:rsidP="005B0685">
      <w:pPr>
        <w:spacing w:line="240" w:lineRule="auto"/>
        <w:jc w:val="both"/>
        <w:rPr>
          <w:b/>
          <w:bCs/>
          <w:color w:val="00B0F0"/>
          <w:sz w:val="22"/>
        </w:rPr>
      </w:pPr>
      <w:r w:rsidRPr="00FB1EEF">
        <w:rPr>
          <w:b/>
          <w:bCs/>
          <w:color w:val="00B0F0"/>
          <w:sz w:val="22"/>
        </w:rPr>
        <w:t>Background</w:t>
      </w:r>
      <w:r w:rsidR="007406E4" w:rsidRPr="00FB1EEF">
        <w:rPr>
          <w:b/>
          <w:bCs/>
          <w:color w:val="00B0F0"/>
          <w:sz w:val="22"/>
        </w:rPr>
        <w:t xml:space="preserve"> of the Market Development Fund (MDF)</w:t>
      </w:r>
      <w:r w:rsidRPr="00FB1EEF">
        <w:rPr>
          <w:b/>
          <w:bCs/>
          <w:color w:val="00B0F0"/>
          <w:sz w:val="22"/>
        </w:rPr>
        <w:t>:</w:t>
      </w:r>
    </w:p>
    <w:p w14:paraId="009A9751" w14:textId="7905A43B" w:rsidR="000F552E" w:rsidRPr="0097372A" w:rsidRDefault="000F552E" w:rsidP="005B0685">
      <w:pPr>
        <w:pStyle w:val="BodyText"/>
        <w:spacing w:line="240" w:lineRule="auto"/>
        <w:jc w:val="both"/>
        <w:rPr>
          <w:rFonts w:ascii="Verdana" w:hAnsi="Verdana"/>
          <w:sz w:val="22"/>
          <w:szCs w:val="22"/>
        </w:rPr>
      </w:pPr>
      <w:r w:rsidRPr="0097372A">
        <w:rPr>
          <w:rFonts w:ascii="Verdana" w:hAnsi="Verdana"/>
          <w:sz w:val="22"/>
          <w:szCs w:val="22"/>
        </w:rPr>
        <w:t>The Market Development Fund (MDF) is a 2.1M Euro funding facility domiciled within SNV that will run until November 2025. The MDF intends to kickstart the energy efficiency market by buying down risk for ESCOs</w:t>
      </w:r>
      <w:r w:rsidR="00E42419">
        <w:rPr>
          <w:rFonts w:ascii="Verdana" w:hAnsi="Verdana"/>
          <w:sz w:val="22"/>
          <w:szCs w:val="22"/>
        </w:rPr>
        <w:t xml:space="preserve"> (Energy Service Companies)</w:t>
      </w:r>
      <w:r w:rsidRPr="0097372A">
        <w:rPr>
          <w:rFonts w:ascii="Verdana" w:hAnsi="Verdana"/>
          <w:sz w:val="22"/>
          <w:szCs w:val="22"/>
        </w:rPr>
        <w:t xml:space="preserve"> and ESPCs (Energy Service</w:t>
      </w:r>
      <w:r w:rsidR="00E42419">
        <w:rPr>
          <w:rFonts w:ascii="Verdana" w:hAnsi="Verdana"/>
          <w:sz w:val="22"/>
          <w:szCs w:val="22"/>
        </w:rPr>
        <w:t xml:space="preserve"> Provider</w:t>
      </w:r>
      <w:r w:rsidRPr="0097372A">
        <w:rPr>
          <w:rFonts w:ascii="Verdana" w:hAnsi="Verdana"/>
          <w:sz w:val="22"/>
          <w:szCs w:val="22"/>
        </w:rPr>
        <w:t xml:space="preserve"> Companies) on the supply side, and </w:t>
      </w:r>
      <w:r w:rsidR="00E42419">
        <w:rPr>
          <w:rFonts w:ascii="Verdana" w:hAnsi="Verdana"/>
          <w:sz w:val="22"/>
          <w:szCs w:val="22"/>
        </w:rPr>
        <w:t>a</w:t>
      </w:r>
      <w:r w:rsidRPr="0097372A">
        <w:rPr>
          <w:rFonts w:ascii="Verdana" w:hAnsi="Verdana"/>
          <w:sz w:val="22"/>
          <w:szCs w:val="22"/>
        </w:rPr>
        <w:t xml:space="preserve">gribusinesses, social institutions, and businesses in </w:t>
      </w:r>
      <w:r w:rsidR="00E61CC5" w:rsidRPr="0097372A">
        <w:rPr>
          <w:rFonts w:ascii="Verdana" w:hAnsi="Verdana"/>
          <w:sz w:val="22"/>
          <w:szCs w:val="22"/>
        </w:rPr>
        <w:t xml:space="preserve">the </w:t>
      </w:r>
      <w:r w:rsidRPr="0097372A">
        <w:rPr>
          <w:rFonts w:ascii="Verdana" w:hAnsi="Verdana"/>
          <w:sz w:val="22"/>
          <w:szCs w:val="22"/>
        </w:rPr>
        <w:t xml:space="preserve">built environment on the demand side, to pilot innovative models for supplying and utilizing energy efficient technologies and services, </w:t>
      </w:r>
      <w:r w:rsidR="00CE4B29" w:rsidRPr="0097372A">
        <w:rPr>
          <w:rFonts w:ascii="Verdana" w:hAnsi="Verdana"/>
          <w:sz w:val="22"/>
          <w:szCs w:val="22"/>
        </w:rPr>
        <w:t>grow &amp;</w:t>
      </w:r>
      <w:r w:rsidR="00E61CC5" w:rsidRPr="0097372A">
        <w:rPr>
          <w:rFonts w:ascii="Verdana" w:hAnsi="Verdana"/>
          <w:sz w:val="22"/>
          <w:szCs w:val="22"/>
        </w:rPr>
        <w:t xml:space="preserve"> </w:t>
      </w:r>
      <w:r w:rsidRPr="0097372A">
        <w:rPr>
          <w:rFonts w:ascii="Verdana" w:hAnsi="Verdana"/>
          <w:sz w:val="22"/>
          <w:szCs w:val="22"/>
        </w:rPr>
        <w:t xml:space="preserve">attract private capital for sustained impact beyond the project period. </w:t>
      </w:r>
    </w:p>
    <w:p w14:paraId="45ABBCB1" w14:textId="77777777" w:rsidR="000F552E" w:rsidRPr="0097372A" w:rsidRDefault="000F552E" w:rsidP="005B0685">
      <w:pPr>
        <w:pStyle w:val="BodyText"/>
        <w:spacing w:line="240" w:lineRule="auto"/>
        <w:jc w:val="both"/>
        <w:rPr>
          <w:rFonts w:ascii="Verdana" w:hAnsi="Verdana"/>
          <w:sz w:val="22"/>
          <w:szCs w:val="22"/>
        </w:rPr>
      </w:pPr>
    </w:p>
    <w:p w14:paraId="3E8255D1" w14:textId="4AF6D16A" w:rsidR="000F552E" w:rsidRPr="0097372A" w:rsidRDefault="000F552E" w:rsidP="005B0685">
      <w:pPr>
        <w:spacing w:line="240" w:lineRule="auto"/>
        <w:jc w:val="both"/>
        <w:rPr>
          <w:sz w:val="22"/>
        </w:rPr>
      </w:pPr>
      <w:r w:rsidRPr="0097372A">
        <w:rPr>
          <w:sz w:val="22"/>
        </w:rPr>
        <w:t>The energy efficiency market in Uganda is nascent, and therefore requires substantial financial risk sharing if the ESCOs and ESPCs are to innovate scal</w:t>
      </w:r>
      <w:r w:rsidR="00E61CC5" w:rsidRPr="0097372A">
        <w:rPr>
          <w:sz w:val="22"/>
        </w:rPr>
        <w:t>a</w:t>
      </w:r>
      <w:r w:rsidRPr="0097372A">
        <w:rPr>
          <w:sz w:val="22"/>
        </w:rPr>
        <w:t>ble business models. Most ESCOs and ESPCs are currently micro and small-scale businesses where access to finance has been identified as a major challenge, reducing their impact</w:t>
      </w:r>
      <w:bookmarkStart w:id="0" w:name="_Int_rxa9JUb6"/>
      <w:bookmarkStart w:id="1" w:name="_Int_dB15V1MG"/>
      <w:r w:rsidRPr="0097372A">
        <w:rPr>
          <w:sz w:val="22"/>
        </w:rPr>
        <w:t>.</w:t>
      </w:r>
      <w:bookmarkEnd w:id="0"/>
      <w:bookmarkEnd w:id="1"/>
      <w:r w:rsidRPr="0097372A">
        <w:rPr>
          <w:sz w:val="22"/>
        </w:rPr>
        <w:t xml:space="preserve"> On the other hand, agribusinesses, institutional energy users and households in the built environment may not yet have adequate demand for the services of ESCOs and ESPCs. </w:t>
      </w:r>
    </w:p>
    <w:p w14:paraId="29230FEA" w14:textId="77777777" w:rsidR="000F552E" w:rsidRPr="0097372A" w:rsidRDefault="000F552E" w:rsidP="005B0685">
      <w:pPr>
        <w:spacing w:line="240" w:lineRule="auto"/>
        <w:jc w:val="both"/>
        <w:rPr>
          <w:sz w:val="22"/>
        </w:rPr>
      </w:pPr>
    </w:p>
    <w:p w14:paraId="3705BD1E" w14:textId="22E802AC" w:rsidR="00255E22" w:rsidRPr="0097372A" w:rsidRDefault="000F552E" w:rsidP="005B0685">
      <w:pPr>
        <w:spacing w:line="240" w:lineRule="auto"/>
        <w:jc w:val="both"/>
        <w:rPr>
          <w:sz w:val="22"/>
        </w:rPr>
      </w:pPr>
      <w:r w:rsidRPr="0097372A">
        <w:rPr>
          <w:sz w:val="22"/>
        </w:rPr>
        <w:t xml:space="preserve">The MDF is designed as a catalyst fund to stimulate access to EE services and products, especially in poorer communities and harder to reach geographies with limited market distortions. The MDF therefore makes temporary investments to kick start the market, and will engage with commercial finance providers to fund the EE market in the longterm. </w:t>
      </w:r>
    </w:p>
    <w:p w14:paraId="6D51474B" w14:textId="77777777" w:rsidR="007406E4" w:rsidRPr="0097372A" w:rsidRDefault="007406E4" w:rsidP="005B0685">
      <w:pPr>
        <w:spacing w:line="240" w:lineRule="auto"/>
        <w:jc w:val="both"/>
        <w:rPr>
          <w:b/>
          <w:bCs/>
          <w:color w:val="00B0F0"/>
          <w:sz w:val="22"/>
        </w:rPr>
      </w:pPr>
    </w:p>
    <w:p w14:paraId="353498EB" w14:textId="7025C4E5" w:rsidR="000811D1" w:rsidRPr="0097372A" w:rsidRDefault="00F3742D" w:rsidP="005B0685">
      <w:pPr>
        <w:spacing w:line="240" w:lineRule="auto"/>
        <w:jc w:val="both"/>
        <w:rPr>
          <w:b/>
          <w:bCs/>
          <w:color w:val="00B0F0"/>
          <w:sz w:val="22"/>
        </w:rPr>
      </w:pPr>
      <w:r w:rsidRPr="0097372A">
        <w:rPr>
          <w:b/>
          <w:bCs/>
          <w:color w:val="00B0F0"/>
          <w:sz w:val="22"/>
        </w:rPr>
        <w:t>Rationale for the position:</w:t>
      </w:r>
    </w:p>
    <w:p w14:paraId="072218E3" w14:textId="38F4985F" w:rsidR="000F552E" w:rsidRPr="00F47F70" w:rsidRDefault="00653D5B" w:rsidP="00273B67">
      <w:pPr>
        <w:spacing w:line="240" w:lineRule="auto"/>
        <w:jc w:val="both"/>
        <w:rPr>
          <w:sz w:val="22"/>
        </w:rPr>
      </w:pPr>
      <w:r w:rsidRPr="00653D5B">
        <w:rPr>
          <w:sz w:val="22"/>
          <w:szCs w:val="32"/>
        </w:rPr>
        <w:t>Provide expertise and guidance to IAC in selection of most viable business models proposed by agribusiness applicants.</w:t>
      </w:r>
      <w:r w:rsidR="00A437D2">
        <w:rPr>
          <w:sz w:val="22"/>
          <w:szCs w:val="32"/>
        </w:rPr>
        <w:t xml:space="preserve"> </w:t>
      </w:r>
      <w:r w:rsidR="00F47F70">
        <w:rPr>
          <w:sz w:val="22"/>
        </w:rPr>
        <w:t xml:space="preserve">The </w:t>
      </w:r>
      <w:r w:rsidR="001A2D1A">
        <w:rPr>
          <w:sz w:val="22"/>
        </w:rPr>
        <w:t>Agribusiness</w:t>
      </w:r>
      <w:r w:rsidR="00F47F70">
        <w:rPr>
          <w:sz w:val="22"/>
        </w:rPr>
        <w:t xml:space="preserve"> Expert will </w:t>
      </w:r>
      <w:r w:rsidR="00273B67">
        <w:rPr>
          <w:sz w:val="22"/>
        </w:rPr>
        <w:t xml:space="preserve">be the technical </w:t>
      </w:r>
      <w:r w:rsidR="00CC7AE1">
        <w:rPr>
          <w:sz w:val="22"/>
        </w:rPr>
        <w:t xml:space="preserve">expert on the committee with regards to agribusiness. He/She will provide overall guidance and </w:t>
      </w:r>
      <w:r w:rsidR="00DF58EB">
        <w:rPr>
          <w:sz w:val="22"/>
        </w:rPr>
        <w:t xml:space="preserve">technical backstopping to the committee on agribusiness </w:t>
      </w:r>
    </w:p>
    <w:p w14:paraId="708072F1" w14:textId="77777777" w:rsidR="00F3742D" w:rsidRPr="0097372A" w:rsidRDefault="00F3742D" w:rsidP="005B0685">
      <w:pPr>
        <w:spacing w:line="240" w:lineRule="auto"/>
        <w:jc w:val="both"/>
        <w:rPr>
          <w:sz w:val="22"/>
        </w:rPr>
      </w:pPr>
    </w:p>
    <w:p w14:paraId="69EB6199" w14:textId="34F55BC5" w:rsidR="0097372A" w:rsidRPr="0097372A" w:rsidRDefault="005B0685" w:rsidP="005B0685">
      <w:pPr>
        <w:spacing w:line="240" w:lineRule="auto"/>
        <w:jc w:val="both"/>
        <w:rPr>
          <w:b/>
          <w:bCs/>
          <w:color w:val="00B0F0"/>
          <w:sz w:val="22"/>
        </w:rPr>
      </w:pPr>
      <w:r>
        <w:rPr>
          <w:b/>
          <w:bCs/>
          <w:color w:val="00B0F0"/>
          <w:sz w:val="22"/>
        </w:rPr>
        <w:t xml:space="preserve">Position Roles and </w:t>
      </w:r>
      <w:r w:rsidR="00275EDB" w:rsidRPr="0097372A">
        <w:rPr>
          <w:b/>
          <w:bCs/>
          <w:color w:val="00B0F0"/>
          <w:sz w:val="22"/>
        </w:rPr>
        <w:t>Responsibilities</w:t>
      </w:r>
      <w:r w:rsidR="003202A9" w:rsidRPr="0097372A">
        <w:rPr>
          <w:b/>
          <w:bCs/>
          <w:color w:val="00B0F0"/>
          <w:sz w:val="22"/>
        </w:rPr>
        <w:t>:</w:t>
      </w:r>
    </w:p>
    <w:p w14:paraId="1700A243" w14:textId="304EA651" w:rsidR="00F47F70" w:rsidRPr="00894A1B" w:rsidRDefault="00DF58EB" w:rsidP="00894A1B">
      <w:pPr>
        <w:pStyle w:val="ListParagraph"/>
        <w:numPr>
          <w:ilvl w:val="0"/>
          <w:numId w:val="18"/>
        </w:numPr>
        <w:rPr>
          <w:sz w:val="22"/>
        </w:rPr>
      </w:pPr>
      <w:r>
        <w:rPr>
          <w:sz w:val="22"/>
        </w:rPr>
        <w:t>Provide agribusiness landscape analysis support to the IAC as an when required</w:t>
      </w:r>
      <w:r w:rsidR="00E1559F">
        <w:rPr>
          <w:sz w:val="22"/>
        </w:rPr>
        <w:t>, especially with regards to risks and opportunitires for grant investments.</w:t>
      </w:r>
      <w:r w:rsidR="00E1559F" w:rsidRPr="00894A1B">
        <w:rPr>
          <w:sz w:val="22"/>
        </w:rPr>
        <w:t xml:space="preserve"> </w:t>
      </w:r>
    </w:p>
    <w:p w14:paraId="5A825482" w14:textId="5CADE747" w:rsidR="00784381" w:rsidRPr="00784381" w:rsidRDefault="00784381" w:rsidP="00784381">
      <w:pPr>
        <w:pStyle w:val="ListParagraph"/>
        <w:numPr>
          <w:ilvl w:val="0"/>
          <w:numId w:val="18"/>
        </w:numPr>
        <w:rPr>
          <w:sz w:val="22"/>
        </w:rPr>
      </w:pPr>
      <w:r w:rsidRPr="00784381">
        <w:rPr>
          <w:sz w:val="22"/>
        </w:rPr>
        <w:t xml:space="preserve">Review and </w:t>
      </w:r>
      <w:r w:rsidR="00E1559F">
        <w:rPr>
          <w:sz w:val="22"/>
        </w:rPr>
        <w:t xml:space="preserve">analyse business models proposed by </w:t>
      </w:r>
      <w:r w:rsidR="00AD592D">
        <w:rPr>
          <w:sz w:val="22"/>
        </w:rPr>
        <w:t>agribusinesses applying to access the fund and provide</w:t>
      </w:r>
      <w:r w:rsidR="00F7127C">
        <w:rPr>
          <w:sz w:val="22"/>
        </w:rPr>
        <w:t xml:space="preserve"> opinion</w:t>
      </w:r>
      <w:r w:rsidR="00C30F09">
        <w:rPr>
          <w:sz w:val="22"/>
        </w:rPr>
        <w:t xml:space="preserve"> to the committee on their</w:t>
      </w:r>
      <w:r w:rsidR="00F7127C">
        <w:rPr>
          <w:sz w:val="22"/>
        </w:rPr>
        <w:t xml:space="preserve"> </w:t>
      </w:r>
      <w:r w:rsidR="00C30F09">
        <w:rPr>
          <w:sz w:val="22"/>
        </w:rPr>
        <w:t xml:space="preserve">viability. </w:t>
      </w:r>
      <w:r>
        <w:rPr>
          <w:sz w:val="22"/>
        </w:rPr>
        <w:t xml:space="preserve"> </w:t>
      </w:r>
    </w:p>
    <w:p w14:paraId="6C933AB3" w14:textId="00B5671D" w:rsidR="00F47F70" w:rsidRPr="00621E88" w:rsidRDefault="00ED1C55" w:rsidP="00F47F70">
      <w:pPr>
        <w:pStyle w:val="ListParagraph"/>
        <w:numPr>
          <w:ilvl w:val="0"/>
          <w:numId w:val="18"/>
        </w:numPr>
        <w:rPr>
          <w:sz w:val="22"/>
        </w:rPr>
      </w:pPr>
      <w:r>
        <w:rPr>
          <w:sz w:val="22"/>
        </w:rPr>
        <w:t xml:space="preserve">Provide advice or recommendations to MDF team on </w:t>
      </w:r>
      <w:r w:rsidR="009D46F6">
        <w:rPr>
          <w:sz w:val="22"/>
        </w:rPr>
        <w:t xml:space="preserve">areas of imoprovement for the business models of agribusinesses </w:t>
      </w:r>
      <w:r w:rsidR="009B334F">
        <w:rPr>
          <w:sz w:val="22"/>
        </w:rPr>
        <w:t>to enable growth and competitiveness</w:t>
      </w:r>
      <w:r>
        <w:rPr>
          <w:sz w:val="22"/>
        </w:rPr>
        <w:t xml:space="preserve">. </w:t>
      </w:r>
    </w:p>
    <w:p w14:paraId="620D9C55" w14:textId="38BB912C" w:rsidR="00F47F70" w:rsidRPr="00ED1C55" w:rsidRDefault="00784381" w:rsidP="00621E88">
      <w:pPr>
        <w:pStyle w:val="ListParagraph"/>
        <w:numPr>
          <w:ilvl w:val="0"/>
          <w:numId w:val="18"/>
        </w:numPr>
        <w:rPr>
          <w:b/>
          <w:bCs/>
          <w:sz w:val="22"/>
          <w:lang w:val="en-GB"/>
        </w:rPr>
      </w:pPr>
      <w:r w:rsidRPr="00621E88">
        <w:rPr>
          <w:sz w:val="22"/>
        </w:rPr>
        <w:t xml:space="preserve">Provide </w:t>
      </w:r>
      <w:r w:rsidR="003E49AE">
        <w:rPr>
          <w:sz w:val="22"/>
        </w:rPr>
        <w:t>recommendations</w:t>
      </w:r>
      <w:r w:rsidRPr="00621E88">
        <w:rPr>
          <w:sz w:val="22"/>
        </w:rPr>
        <w:t xml:space="preserve"> </w:t>
      </w:r>
      <w:r w:rsidR="00E5205D">
        <w:rPr>
          <w:sz w:val="22"/>
        </w:rPr>
        <w:t>on crucial areas</w:t>
      </w:r>
      <w:r w:rsidR="003E49AE">
        <w:rPr>
          <w:sz w:val="22"/>
        </w:rPr>
        <w:t xml:space="preserve"> of focus</w:t>
      </w:r>
      <w:r w:rsidRPr="00621E88">
        <w:rPr>
          <w:sz w:val="22"/>
        </w:rPr>
        <w:t xml:space="preserve"> </w:t>
      </w:r>
      <w:r w:rsidR="00E5205D">
        <w:rPr>
          <w:sz w:val="22"/>
        </w:rPr>
        <w:t xml:space="preserve">to guide the </w:t>
      </w:r>
      <w:r w:rsidRPr="00621E88">
        <w:rPr>
          <w:sz w:val="22"/>
        </w:rPr>
        <w:t xml:space="preserve">MDF team during </w:t>
      </w:r>
      <w:r w:rsidR="00F47F70" w:rsidRPr="00621E88">
        <w:rPr>
          <w:sz w:val="22"/>
        </w:rPr>
        <w:t>investment negotiations</w:t>
      </w:r>
      <w:r w:rsidRPr="00621E88">
        <w:rPr>
          <w:sz w:val="22"/>
        </w:rPr>
        <w:t xml:space="preserve"> with the </w:t>
      </w:r>
      <w:r w:rsidR="009B334F">
        <w:rPr>
          <w:sz w:val="22"/>
        </w:rPr>
        <w:t>agribusinesses</w:t>
      </w:r>
      <w:r w:rsidRPr="00621E88">
        <w:rPr>
          <w:sz w:val="22"/>
        </w:rPr>
        <w:t xml:space="preserve">. </w:t>
      </w:r>
    </w:p>
    <w:p w14:paraId="3F334D48" w14:textId="0F3A5357" w:rsidR="00F47F70" w:rsidRPr="00621E88" w:rsidRDefault="00F47F70" w:rsidP="00F47F70">
      <w:pPr>
        <w:pStyle w:val="ListParagraph"/>
        <w:numPr>
          <w:ilvl w:val="0"/>
          <w:numId w:val="18"/>
        </w:numPr>
        <w:rPr>
          <w:b/>
          <w:bCs/>
          <w:sz w:val="22"/>
          <w:lang w:val="en-GB"/>
        </w:rPr>
      </w:pPr>
      <w:r w:rsidRPr="00621E88">
        <w:rPr>
          <w:sz w:val="22"/>
        </w:rPr>
        <w:t xml:space="preserve">Attend investment meetings </w:t>
      </w:r>
      <w:r w:rsidR="00621E88" w:rsidRPr="00621E88">
        <w:rPr>
          <w:sz w:val="22"/>
        </w:rPr>
        <w:t xml:space="preserve">and </w:t>
      </w:r>
      <w:r w:rsidR="003E49AE">
        <w:rPr>
          <w:sz w:val="22"/>
        </w:rPr>
        <w:t xml:space="preserve">complete and share </w:t>
      </w:r>
      <w:r w:rsidR="00621E88" w:rsidRPr="00621E88">
        <w:rPr>
          <w:sz w:val="22"/>
        </w:rPr>
        <w:t xml:space="preserve">all IAC documentation as required. </w:t>
      </w:r>
      <w:r w:rsidRPr="00621E88">
        <w:rPr>
          <w:sz w:val="22"/>
        </w:rPr>
        <w:t xml:space="preserve"> </w:t>
      </w:r>
    </w:p>
    <w:p w14:paraId="7632B327" w14:textId="02D07314" w:rsidR="00F47F70" w:rsidRPr="00C80DA2" w:rsidRDefault="00621E88" w:rsidP="00F47F70">
      <w:pPr>
        <w:pStyle w:val="ListParagraph"/>
        <w:numPr>
          <w:ilvl w:val="0"/>
          <w:numId w:val="18"/>
        </w:numPr>
        <w:rPr>
          <w:b/>
          <w:bCs/>
          <w:sz w:val="22"/>
          <w:lang w:val="en-GB"/>
        </w:rPr>
      </w:pPr>
      <w:r w:rsidRPr="00621E88">
        <w:rPr>
          <w:sz w:val="22"/>
        </w:rPr>
        <w:t xml:space="preserve">Provide suggestions on areas of </w:t>
      </w:r>
      <w:r w:rsidR="000C1258">
        <w:rPr>
          <w:sz w:val="22"/>
        </w:rPr>
        <w:t xml:space="preserve">continous </w:t>
      </w:r>
      <w:r w:rsidRPr="00621E88">
        <w:rPr>
          <w:sz w:val="22"/>
        </w:rPr>
        <w:t xml:space="preserve">improvement in the MDF </w:t>
      </w:r>
      <w:r w:rsidR="00044509">
        <w:rPr>
          <w:sz w:val="22"/>
        </w:rPr>
        <w:t>quality and risk</w:t>
      </w:r>
      <w:r w:rsidR="000C1258">
        <w:rPr>
          <w:sz w:val="22"/>
        </w:rPr>
        <w:t xml:space="preserve"> management. </w:t>
      </w:r>
    </w:p>
    <w:p w14:paraId="7684EF6F" w14:textId="1B7C4405" w:rsidR="00C80DA2" w:rsidRDefault="00C80DA2" w:rsidP="00C80DA2">
      <w:pPr>
        <w:rPr>
          <w:b/>
          <w:bCs/>
          <w:sz w:val="22"/>
          <w:lang w:val="en-GB"/>
        </w:rPr>
      </w:pPr>
    </w:p>
    <w:p w14:paraId="094A3A8D" w14:textId="7FB4F8AD" w:rsidR="00C80DA2" w:rsidRDefault="00C80DA2" w:rsidP="00C80DA2">
      <w:pPr>
        <w:rPr>
          <w:b/>
          <w:bCs/>
          <w:sz w:val="22"/>
          <w:lang w:val="en-GB"/>
        </w:rPr>
      </w:pPr>
    </w:p>
    <w:p w14:paraId="5CB513A9" w14:textId="77777777" w:rsidR="00C80DA2" w:rsidRPr="00C80DA2" w:rsidRDefault="00C80DA2" w:rsidP="00C80DA2">
      <w:pPr>
        <w:rPr>
          <w:b/>
          <w:bCs/>
          <w:sz w:val="22"/>
          <w:lang w:val="en-GB"/>
        </w:rPr>
      </w:pPr>
    </w:p>
    <w:p w14:paraId="533C427D" w14:textId="77777777" w:rsidR="00575DE5" w:rsidRPr="0097372A" w:rsidRDefault="00575DE5" w:rsidP="005B0685">
      <w:pPr>
        <w:spacing w:line="240" w:lineRule="auto"/>
        <w:jc w:val="both"/>
        <w:rPr>
          <w:b/>
          <w:bCs/>
          <w:color w:val="00B0F0"/>
          <w:sz w:val="22"/>
        </w:rPr>
      </w:pPr>
    </w:p>
    <w:p w14:paraId="77117EE7" w14:textId="2CC02DA9" w:rsidR="00C93F2E" w:rsidRPr="00A6011D" w:rsidRDefault="00275EDB" w:rsidP="00A6011D">
      <w:pPr>
        <w:spacing w:line="240" w:lineRule="auto"/>
        <w:jc w:val="both"/>
        <w:rPr>
          <w:b/>
          <w:bCs/>
          <w:color w:val="00B0F0"/>
          <w:sz w:val="22"/>
        </w:rPr>
      </w:pPr>
      <w:r w:rsidRPr="0097372A">
        <w:rPr>
          <w:b/>
          <w:bCs/>
          <w:color w:val="00B0F0"/>
          <w:sz w:val="22"/>
        </w:rPr>
        <w:t xml:space="preserve">Skills and Personal Qualities </w:t>
      </w:r>
      <w:r w:rsidRPr="0097372A">
        <w:rPr>
          <w:color w:val="00B0F0"/>
          <w:sz w:val="22"/>
        </w:rPr>
        <w:t xml:space="preserve"> </w:t>
      </w:r>
    </w:p>
    <w:p w14:paraId="76C8637D" w14:textId="248C1CFB" w:rsidR="000C1862" w:rsidRDefault="000C1862" w:rsidP="00D7401C">
      <w:pPr>
        <w:pStyle w:val="ListParagraph"/>
        <w:numPr>
          <w:ilvl w:val="0"/>
          <w:numId w:val="20"/>
        </w:numPr>
        <w:rPr>
          <w:sz w:val="22"/>
        </w:rPr>
      </w:pPr>
      <w:r w:rsidRPr="000C1862">
        <w:rPr>
          <w:sz w:val="22"/>
        </w:rPr>
        <w:t xml:space="preserve">M.Sc </w:t>
      </w:r>
      <w:r w:rsidR="005B78E3">
        <w:rPr>
          <w:sz w:val="22"/>
        </w:rPr>
        <w:t xml:space="preserve">in </w:t>
      </w:r>
      <w:r w:rsidRPr="000C1862">
        <w:rPr>
          <w:sz w:val="22"/>
        </w:rPr>
        <w:t xml:space="preserve">Agribusiness, </w:t>
      </w:r>
      <w:r w:rsidR="00A333FE">
        <w:rPr>
          <w:sz w:val="22"/>
        </w:rPr>
        <w:t>Business</w:t>
      </w:r>
      <w:r w:rsidRPr="000C1862">
        <w:rPr>
          <w:sz w:val="22"/>
        </w:rPr>
        <w:t xml:space="preserve"> Management, Marketing, Agricultural Economics, Natural Resource Management or related field.</w:t>
      </w:r>
    </w:p>
    <w:p w14:paraId="0C387004" w14:textId="21CFD0C2" w:rsidR="00F749F9" w:rsidRPr="00F749F9" w:rsidRDefault="00F749F9" w:rsidP="00F749F9">
      <w:pPr>
        <w:pStyle w:val="ListParagraph"/>
        <w:numPr>
          <w:ilvl w:val="0"/>
          <w:numId w:val="20"/>
        </w:numPr>
        <w:rPr>
          <w:sz w:val="22"/>
        </w:rPr>
      </w:pPr>
      <w:r w:rsidRPr="00D7401C">
        <w:rPr>
          <w:sz w:val="22"/>
        </w:rPr>
        <w:t xml:space="preserve">Up to </w:t>
      </w:r>
      <w:r>
        <w:rPr>
          <w:sz w:val="22"/>
        </w:rPr>
        <w:t>Fifteen (1</w:t>
      </w:r>
      <w:r w:rsidRPr="00D7401C">
        <w:rPr>
          <w:sz w:val="22"/>
        </w:rPr>
        <w:t>5</w:t>
      </w:r>
      <w:r>
        <w:rPr>
          <w:sz w:val="22"/>
        </w:rPr>
        <w:t>)</w:t>
      </w:r>
      <w:r w:rsidRPr="00D7401C">
        <w:rPr>
          <w:sz w:val="22"/>
        </w:rPr>
        <w:t xml:space="preserve"> years </w:t>
      </w:r>
      <w:r>
        <w:rPr>
          <w:sz w:val="22"/>
        </w:rPr>
        <w:t xml:space="preserve">of </w:t>
      </w:r>
      <w:r w:rsidRPr="00D7401C">
        <w:rPr>
          <w:sz w:val="22"/>
        </w:rPr>
        <w:t>work experience in investment advisory institutions, investment banking, business support environment such as incubation and acceleration facilities</w:t>
      </w:r>
      <w:r w:rsidR="00472848">
        <w:rPr>
          <w:sz w:val="22"/>
        </w:rPr>
        <w:t xml:space="preserve"> at senior level</w:t>
      </w:r>
      <w:r w:rsidRPr="00D7401C">
        <w:rPr>
          <w:sz w:val="22"/>
        </w:rPr>
        <w:t xml:space="preserve"> </w:t>
      </w:r>
    </w:p>
    <w:p w14:paraId="44C856F5" w14:textId="4700F0CA" w:rsidR="00D7401C" w:rsidRDefault="000C1862" w:rsidP="00D7401C">
      <w:pPr>
        <w:pStyle w:val="ListParagraph"/>
        <w:numPr>
          <w:ilvl w:val="0"/>
          <w:numId w:val="20"/>
        </w:numPr>
        <w:rPr>
          <w:sz w:val="22"/>
        </w:rPr>
      </w:pPr>
      <w:r>
        <w:rPr>
          <w:sz w:val="22"/>
        </w:rPr>
        <w:t>Exp</w:t>
      </w:r>
      <w:r w:rsidR="002272D1">
        <w:rPr>
          <w:sz w:val="22"/>
        </w:rPr>
        <w:t>e</w:t>
      </w:r>
      <w:r>
        <w:rPr>
          <w:sz w:val="22"/>
        </w:rPr>
        <w:t xml:space="preserve">rience </w:t>
      </w:r>
      <w:r w:rsidR="0025589B">
        <w:rPr>
          <w:sz w:val="22"/>
        </w:rPr>
        <w:t xml:space="preserve">in </w:t>
      </w:r>
      <w:r w:rsidR="00D5227A">
        <w:rPr>
          <w:sz w:val="22"/>
        </w:rPr>
        <w:t>designing and analysing business</w:t>
      </w:r>
      <w:r w:rsidR="00D7401C" w:rsidRPr="00D7401C">
        <w:rPr>
          <w:sz w:val="22"/>
        </w:rPr>
        <w:t xml:space="preserve"> models </w:t>
      </w:r>
      <w:r w:rsidR="00E138F8">
        <w:rPr>
          <w:sz w:val="22"/>
        </w:rPr>
        <w:t>to generate advisory</w:t>
      </w:r>
      <w:r w:rsidR="00472848">
        <w:rPr>
          <w:sz w:val="22"/>
        </w:rPr>
        <w:t xml:space="preserve"> points</w:t>
      </w:r>
      <w:r w:rsidR="00E138F8">
        <w:rPr>
          <w:sz w:val="22"/>
        </w:rPr>
        <w:t xml:space="preserve"> to enterprises. </w:t>
      </w:r>
      <w:r w:rsidR="00D7401C" w:rsidRPr="00D7401C">
        <w:rPr>
          <w:sz w:val="22"/>
        </w:rPr>
        <w:t xml:space="preserve"> </w:t>
      </w:r>
    </w:p>
    <w:p w14:paraId="7FD73BC9" w14:textId="6165ADF4" w:rsidR="003B2C56" w:rsidRPr="003B2C56" w:rsidRDefault="003B2C56" w:rsidP="003B2C56">
      <w:pPr>
        <w:pStyle w:val="ListParagraph"/>
        <w:numPr>
          <w:ilvl w:val="0"/>
          <w:numId w:val="20"/>
        </w:numPr>
        <w:rPr>
          <w:sz w:val="22"/>
        </w:rPr>
      </w:pPr>
      <w:r>
        <w:rPr>
          <w:sz w:val="22"/>
        </w:rPr>
        <w:t>Exp</w:t>
      </w:r>
      <w:r w:rsidR="002272D1">
        <w:rPr>
          <w:sz w:val="22"/>
        </w:rPr>
        <w:t>e</w:t>
      </w:r>
      <w:r>
        <w:rPr>
          <w:sz w:val="22"/>
        </w:rPr>
        <w:t xml:space="preserve">rience in structuring, facilitating </w:t>
      </w:r>
      <w:r w:rsidR="007F5377">
        <w:rPr>
          <w:sz w:val="22"/>
        </w:rPr>
        <w:t>and</w:t>
      </w:r>
      <w:r>
        <w:rPr>
          <w:sz w:val="22"/>
        </w:rPr>
        <w:t xml:space="preserve"> executing investment deals in </w:t>
      </w:r>
      <w:r w:rsidR="007F5377">
        <w:rPr>
          <w:sz w:val="22"/>
        </w:rPr>
        <w:t xml:space="preserve">the </w:t>
      </w:r>
      <w:r>
        <w:rPr>
          <w:sz w:val="22"/>
        </w:rPr>
        <w:t xml:space="preserve">agribusiness sector in Uganda. </w:t>
      </w:r>
    </w:p>
    <w:p w14:paraId="1E9F1D5C" w14:textId="59AE0F6B" w:rsidR="00D7401C" w:rsidRPr="00D7401C" w:rsidRDefault="00D7401C" w:rsidP="00D7401C">
      <w:pPr>
        <w:pStyle w:val="ListParagraph"/>
        <w:numPr>
          <w:ilvl w:val="0"/>
          <w:numId w:val="20"/>
        </w:numPr>
        <w:rPr>
          <w:sz w:val="22"/>
        </w:rPr>
      </w:pPr>
      <w:r w:rsidRPr="00D7401C">
        <w:rPr>
          <w:sz w:val="22"/>
        </w:rPr>
        <w:t>High level of integrity, with</w:t>
      </w:r>
      <w:r w:rsidR="007F5377">
        <w:rPr>
          <w:sz w:val="22"/>
        </w:rPr>
        <w:t xml:space="preserve"> a</w:t>
      </w:r>
      <w:r w:rsidRPr="00D7401C">
        <w:rPr>
          <w:sz w:val="22"/>
        </w:rPr>
        <w:t xml:space="preserve"> track record of incident-free service </w:t>
      </w:r>
    </w:p>
    <w:p w14:paraId="593621FF" w14:textId="77777777" w:rsidR="00D7401C" w:rsidRPr="00D7401C" w:rsidRDefault="00D7401C" w:rsidP="00D7401C">
      <w:pPr>
        <w:pStyle w:val="ListParagraph"/>
        <w:numPr>
          <w:ilvl w:val="0"/>
          <w:numId w:val="20"/>
        </w:numPr>
        <w:rPr>
          <w:sz w:val="22"/>
        </w:rPr>
      </w:pPr>
      <w:r w:rsidRPr="00D7401C">
        <w:rPr>
          <w:sz w:val="22"/>
        </w:rPr>
        <w:t xml:space="preserve">Ability to communicate clearly and concisely both orally and in writing </w:t>
      </w:r>
    </w:p>
    <w:p w14:paraId="05B5B6EB" w14:textId="440128A0" w:rsidR="00275EDB" w:rsidRPr="00E307E3" w:rsidRDefault="00BB7862" w:rsidP="00D842A0">
      <w:pPr>
        <w:pStyle w:val="ListParagraph"/>
        <w:numPr>
          <w:ilvl w:val="0"/>
          <w:numId w:val="20"/>
        </w:numPr>
        <w:spacing w:line="240" w:lineRule="auto"/>
        <w:jc w:val="both"/>
        <w:rPr>
          <w:rFonts w:eastAsia="Times New Roman" w:cs="Arial"/>
          <w:color w:val="333333"/>
          <w:sz w:val="22"/>
        </w:rPr>
      </w:pPr>
      <w:r>
        <w:rPr>
          <w:sz w:val="22"/>
        </w:rPr>
        <w:t>Proficiency</w:t>
      </w:r>
      <w:r w:rsidR="00D7401C" w:rsidRPr="00BB7862">
        <w:rPr>
          <w:sz w:val="22"/>
        </w:rPr>
        <w:t xml:space="preserve"> in English </w:t>
      </w:r>
      <w:r>
        <w:rPr>
          <w:sz w:val="22"/>
        </w:rPr>
        <w:t xml:space="preserve">is </w:t>
      </w:r>
      <w:r w:rsidR="00D7401C" w:rsidRPr="00BB7862">
        <w:rPr>
          <w:sz w:val="22"/>
        </w:rPr>
        <w:t>required</w:t>
      </w:r>
      <w:r>
        <w:rPr>
          <w:sz w:val="22"/>
        </w:rPr>
        <w:t xml:space="preserve">. </w:t>
      </w:r>
    </w:p>
    <w:p w14:paraId="7B806C85" w14:textId="41011C1B" w:rsidR="00E307E3" w:rsidRDefault="00E307E3" w:rsidP="00E307E3">
      <w:pPr>
        <w:rPr>
          <w:sz w:val="22"/>
        </w:rPr>
      </w:pPr>
    </w:p>
    <w:p w14:paraId="798172ED" w14:textId="77777777" w:rsidR="00E307E3" w:rsidRPr="00CC098D" w:rsidRDefault="00E307E3" w:rsidP="00E307E3">
      <w:pPr>
        <w:spacing w:line="240" w:lineRule="auto"/>
        <w:jc w:val="both"/>
        <w:rPr>
          <w:rFonts w:eastAsia="Times New Roman" w:cs="Arial"/>
          <w:b/>
          <w:bCs/>
          <w:color w:val="00B0F0"/>
          <w:sz w:val="22"/>
        </w:rPr>
      </w:pPr>
      <w:r w:rsidRPr="00CC098D">
        <w:rPr>
          <w:rFonts w:eastAsia="Times New Roman" w:cs="Arial"/>
          <w:b/>
          <w:bCs/>
          <w:color w:val="00B0F0"/>
          <w:sz w:val="22"/>
        </w:rPr>
        <w:t>Submission of requirements</w:t>
      </w:r>
    </w:p>
    <w:p w14:paraId="7622D9EB" w14:textId="277D9C25" w:rsidR="00E307E3" w:rsidRPr="00CC098D" w:rsidRDefault="00E307E3" w:rsidP="00E307E3">
      <w:pPr>
        <w:spacing w:line="240" w:lineRule="auto"/>
        <w:jc w:val="both"/>
        <w:rPr>
          <w:rFonts w:eastAsia="Times New Roman" w:cs="Arial"/>
          <w:color w:val="333333"/>
          <w:sz w:val="22"/>
          <w:lang w:val="en-GB"/>
        </w:rPr>
      </w:pPr>
      <w:r>
        <w:rPr>
          <w:rFonts w:eastAsia="Times New Roman" w:cs="Arial"/>
          <w:color w:val="333333"/>
          <w:sz w:val="22"/>
          <w:lang w:val="en-GB"/>
        </w:rPr>
        <w:t xml:space="preserve">Interested parties should </w:t>
      </w:r>
      <w:r w:rsidRPr="00CC098D">
        <w:rPr>
          <w:rFonts w:eastAsia="Times New Roman" w:cs="Arial"/>
          <w:color w:val="333333"/>
          <w:sz w:val="22"/>
          <w:lang w:val="en-GB"/>
        </w:rPr>
        <w:t xml:space="preserve">submit a detailed </w:t>
      </w:r>
      <w:r>
        <w:rPr>
          <w:rFonts w:eastAsia="Times New Roman" w:cs="Arial"/>
          <w:color w:val="333333"/>
          <w:sz w:val="22"/>
          <w:lang w:val="en-GB"/>
        </w:rPr>
        <w:t>C.V</w:t>
      </w:r>
      <w:r w:rsidRPr="00CC098D">
        <w:rPr>
          <w:rFonts w:eastAsia="Times New Roman" w:cs="Arial"/>
          <w:color w:val="333333"/>
          <w:sz w:val="22"/>
          <w:lang w:val="en-GB"/>
        </w:rPr>
        <w:t xml:space="preserve"> by 1</w:t>
      </w:r>
      <w:r>
        <w:rPr>
          <w:rFonts w:eastAsia="Times New Roman" w:cs="Arial"/>
          <w:color w:val="333333"/>
          <w:sz w:val="22"/>
          <w:lang w:val="en-GB"/>
        </w:rPr>
        <w:t>9</w:t>
      </w:r>
      <w:r w:rsidRPr="00CC098D">
        <w:rPr>
          <w:rFonts w:eastAsia="Times New Roman" w:cs="Arial"/>
          <w:color w:val="333333"/>
          <w:sz w:val="22"/>
          <w:vertAlign w:val="superscript"/>
          <w:lang w:val="en-GB"/>
        </w:rPr>
        <w:t>th</w:t>
      </w:r>
      <w:r w:rsidRPr="00CC098D">
        <w:rPr>
          <w:rFonts w:eastAsia="Times New Roman" w:cs="Arial"/>
          <w:color w:val="333333"/>
          <w:sz w:val="22"/>
          <w:lang w:val="en-GB"/>
        </w:rPr>
        <w:t xml:space="preserve"> December C.O.B. Submission should be by soft copy on the email </w:t>
      </w:r>
      <w:hyperlink r:id="rId7" w:history="1">
        <w:r w:rsidRPr="00CC098D">
          <w:rPr>
            <w:rStyle w:val="Hyperlink"/>
            <w:rFonts w:eastAsia="Times New Roman" w:cs="Arial"/>
            <w:sz w:val="22"/>
            <w:lang w:val="en-GB"/>
          </w:rPr>
          <w:t>ugandatenders@snv.org</w:t>
        </w:r>
      </w:hyperlink>
      <w:r w:rsidRPr="00CC098D">
        <w:rPr>
          <w:rFonts w:eastAsia="Times New Roman" w:cs="Arial"/>
          <w:color w:val="333333"/>
          <w:sz w:val="22"/>
          <w:lang w:val="en-GB"/>
        </w:rPr>
        <w:t xml:space="preserve"> .</w:t>
      </w:r>
      <w:r>
        <w:rPr>
          <w:rFonts w:eastAsia="Times New Roman" w:cs="Arial"/>
          <w:color w:val="333333"/>
          <w:sz w:val="22"/>
          <w:lang w:val="en-GB"/>
        </w:rPr>
        <w:t xml:space="preserve"> Please indicate “IAC agribusiness expert” in the subject line</w:t>
      </w:r>
    </w:p>
    <w:p w14:paraId="320EF4E6" w14:textId="77777777" w:rsidR="00E307E3" w:rsidRDefault="00E307E3" w:rsidP="00E307E3">
      <w:pPr>
        <w:spacing w:before="100" w:after="160" w:line="360" w:lineRule="auto"/>
        <w:rPr>
          <w:rFonts w:eastAsia="Times New Roman" w:cs="Arial"/>
          <w:color w:val="333333"/>
          <w:sz w:val="22"/>
        </w:rPr>
      </w:pPr>
    </w:p>
    <w:p w14:paraId="02D5DE05" w14:textId="77777777" w:rsidR="00E307E3" w:rsidRPr="00CC098D" w:rsidRDefault="00E307E3" w:rsidP="00E307E3">
      <w:pPr>
        <w:spacing w:before="100" w:after="160" w:line="360" w:lineRule="auto"/>
        <w:rPr>
          <w:rFonts w:eastAsia="Calibri" w:cs="Times New Roman"/>
          <w:b/>
          <w:bCs/>
          <w:sz w:val="18"/>
          <w:szCs w:val="18"/>
          <w:lang w:val="en-GB"/>
        </w:rPr>
      </w:pPr>
      <w:r w:rsidRPr="00E307E3">
        <w:rPr>
          <w:rFonts w:eastAsia="Times New Roman" w:cs="Arial"/>
          <w:b/>
          <w:bCs/>
          <w:i/>
          <w:iCs/>
          <w:color w:val="333333"/>
          <w:sz w:val="18"/>
          <w:szCs w:val="18"/>
        </w:rPr>
        <w:t>Call</w:t>
      </w:r>
      <w:r w:rsidRPr="00CC098D">
        <w:rPr>
          <w:rFonts w:eastAsia="Calibri" w:cs="Times New Roman"/>
          <w:b/>
          <w:bCs/>
          <w:sz w:val="18"/>
          <w:szCs w:val="18"/>
          <w:lang w:val="en-GB"/>
        </w:rPr>
        <w:t xml:space="preserve"> disclaimer.</w:t>
      </w:r>
    </w:p>
    <w:p w14:paraId="61B31DB6" w14:textId="77777777" w:rsidR="00E307E3" w:rsidRPr="00CC098D" w:rsidRDefault="00E307E3" w:rsidP="00E307E3">
      <w:pPr>
        <w:spacing w:after="160" w:line="276" w:lineRule="auto"/>
        <w:ind w:right="-46"/>
        <w:jc w:val="both"/>
        <w:rPr>
          <w:rFonts w:eastAsia="Calibri" w:cs="Times New Roman"/>
          <w:sz w:val="20"/>
          <w:szCs w:val="20"/>
          <w:lang w:val="en-GB"/>
        </w:rPr>
      </w:pPr>
      <w:r w:rsidRPr="00CC098D">
        <w:rPr>
          <w:rFonts w:eastAsia="Calibri" w:cs="Times New Roman"/>
          <w:i/>
          <w:iCs/>
          <w:sz w:val="18"/>
          <w:szCs w:val="18"/>
          <w:lang w:val="en-US" w:bidi="en-US"/>
        </w:rPr>
        <w:t xml:space="preserve">SNV reserves the right to either accept or reject any or all </w:t>
      </w:r>
      <w:r>
        <w:rPr>
          <w:rFonts w:eastAsia="Calibri" w:cs="Times New Roman"/>
          <w:i/>
          <w:iCs/>
          <w:sz w:val="18"/>
          <w:szCs w:val="18"/>
          <w:lang w:val="en-US" w:bidi="en-US"/>
        </w:rPr>
        <w:t>C.Vs</w:t>
      </w:r>
      <w:r w:rsidRPr="00CC098D">
        <w:rPr>
          <w:rFonts w:eastAsia="Calibri" w:cs="Times New Roman"/>
          <w:i/>
          <w:iCs/>
          <w:sz w:val="18"/>
          <w:szCs w:val="18"/>
          <w:lang w:val="en-US" w:bidi="en-US"/>
        </w:rPr>
        <w:t xml:space="preserve"> submitted.</w:t>
      </w:r>
      <w:r>
        <w:rPr>
          <w:rFonts w:eastAsia="Calibri" w:cs="Times New Roman"/>
          <w:i/>
          <w:iCs/>
          <w:sz w:val="18"/>
          <w:szCs w:val="18"/>
          <w:lang w:val="en-US" w:bidi="en-US"/>
        </w:rPr>
        <w:t xml:space="preserve"> </w:t>
      </w:r>
      <w:r w:rsidRPr="00CC098D">
        <w:rPr>
          <w:rFonts w:eastAsia="Calibri" w:cs="Times New Roman"/>
          <w:i/>
          <w:iCs/>
          <w:sz w:val="18"/>
          <w:szCs w:val="18"/>
          <w:lang w:val="en-US" w:bidi="en-US"/>
        </w:rPr>
        <w:t xml:space="preserve">SNV can stop this procurement at any time without need to give explanation or can extend the deadline for submission once it sees it fit. In case you do not hear from SNV within </w:t>
      </w:r>
      <w:r>
        <w:rPr>
          <w:rFonts w:eastAsia="Calibri" w:cs="Times New Roman"/>
          <w:i/>
          <w:iCs/>
          <w:sz w:val="18"/>
          <w:szCs w:val="18"/>
          <w:lang w:val="en-US" w:bidi="en-US"/>
        </w:rPr>
        <w:t>4</w:t>
      </w:r>
      <w:r w:rsidRPr="00CC098D">
        <w:rPr>
          <w:rFonts w:eastAsia="Calibri" w:cs="Times New Roman"/>
          <w:i/>
          <w:iCs/>
          <w:sz w:val="18"/>
          <w:szCs w:val="18"/>
          <w:lang w:val="en-US" w:bidi="en-US"/>
        </w:rPr>
        <w:t xml:space="preserve"> weeks of closure of the bid receipt date, consider yourself unsuccessful.</w:t>
      </w:r>
      <w:r w:rsidRPr="00CC098D">
        <w:rPr>
          <w:rFonts w:eastAsia="Calibri" w:cs="Times New Roman"/>
          <w:b/>
          <w:bCs/>
          <w:i/>
          <w:iCs/>
          <w:sz w:val="18"/>
          <w:szCs w:val="18"/>
          <w:lang w:val="en-US" w:bidi="en-US"/>
        </w:rPr>
        <w:t xml:space="preserve"> </w:t>
      </w:r>
      <w:r w:rsidRPr="00CC098D">
        <w:rPr>
          <w:rFonts w:eastAsia="Calibri" w:cs="Times New Roman"/>
          <w:i/>
          <w:iCs/>
          <w:sz w:val="18"/>
          <w:szCs w:val="18"/>
          <w:lang w:val="en-US" w:bidi="en-US"/>
        </w:rPr>
        <w:t xml:space="preserve">SNV also reserves the right to reject and cancel the </w:t>
      </w:r>
      <w:r>
        <w:rPr>
          <w:rFonts w:eastAsia="Calibri" w:cs="Times New Roman"/>
          <w:i/>
          <w:iCs/>
          <w:sz w:val="18"/>
          <w:szCs w:val="18"/>
          <w:lang w:val="en-US" w:bidi="en-US"/>
        </w:rPr>
        <w:t>call</w:t>
      </w:r>
      <w:r w:rsidRPr="00CC098D">
        <w:rPr>
          <w:rFonts w:eastAsia="Calibri" w:cs="Times New Roman"/>
          <w:i/>
          <w:iCs/>
          <w:sz w:val="18"/>
          <w:szCs w:val="18"/>
          <w:lang w:val="en-US" w:bidi="en-US"/>
        </w:rPr>
        <w:t xml:space="preserve">-in case any illegal, corrupt, coercive, or collusive practices are noticed. Late </w:t>
      </w:r>
      <w:r>
        <w:rPr>
          <w:rFonts w:eastAsia="Calibri" w:cs="Times New Roman"/>
          <w:i/>
          <w:iCs/>
          <w:sz w:val="18"/>
          <w:szCs w:val="18"/>
          <w:lang w:val="en-US" w:bidi="en-US"/>
        </w:rPr>
        <w:t>submissions</w:t>
      </w:r>
      <w:r w:rsidRPr="00CC098D">
        <w:rPr>
          <w:rFonts w:eastAsia="Calibri" w:cs="Times New Roman"/>
          <w:i/>
          <w:iCs/>
          <w:sz w:val="18"/>
          <w:szCs w:val="18"/>
          <w:lang w:val="en-US" w:bidi="en-US"/>
        </w:rPr>
        <w:t xml:space="preserve"> will be rejected</w:t>
      </w:r>
      <w:r w:rsidRPr="00CC098D">
        <w:rPr>
          <w:rFonts w:eastAsia="Calibri" w:cs="Times New Roman"/>
          <w:sz w:val="20"/>
          <w:szCs w:val="20"/>
          <w:lang w:val="en-GB"/>
        </w:rPr>
        <w:t xml:space="preserve">. </w:t>
      </w:r>
      <w:r w:rsidRPr="00CC098D">
        <w:rPr>
          <w:rFonts w:eastAsia="Calibri" w:cs="Times New Roman"/>
          <w:i/>
          <w:iCs/>
          <w:sz w:val="18"/>
          <w:szCs w:val="18"/>
          <w:lang w:val="en-US" w:bidi="en-US"/>
        </w:rPr>
        <w:t>Please note that viewing, downloading or otherwise using the TOR constitutes acceptance on your part of all the above noted statements and conditions.</w:t>
      </w:r>
    </w:p>
    <w:p w14:paraId="2F87BC4B" w14:textId="77777777" w:rsidR="00E307E3" w:rsidRDefault="00E307E3" w:rsidP="00E307E3">
      <w:pPr>
        <w:spacing w:line="240" w:lineRule="auto"/>
        <w:jc w:val="both"/>
        <w:rPr>
          <w:rFonts w:eastAsia="Times New Roman" w:cs="Arial"/>
          <w:color w:val="333333"/>
          <w:sz w:val="22"/>
        </w:rPr>
      </w:pPr>
    </w:p>
    <w:p w14:paraId="62A01AC9" w14:textId="77777777" w:rsidR="00E307E3" w:rsidRPr="00E307E3" w:rsidRDefault="00E307E3" w:rsidP="00E307E3"/>
    <w:sectPr w:rsidR="00E307E3" w:rsidRPr="00E307E3" w:rsidSect="0097372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A140" w14:textId="77777777" w:rsidR="005076D9" w:rsidRDefault="005076D9" w:rsidP="00E307E3">
      <w:pPr>
        <w:spacing w:line="240" w:lineRule="auto"/>
      </w:pPr>
      <w:r>
        <w:separator/>
      </w:r>
    </w:p>
  </w:endnote>
  <w:endnote w:type="continuationSeparator" w:id="0">
    <w:p w14:paraId="3A67F3F7" w14:textId="77777777" w:rsidR="005076D9" w:rsidRDefault="005076D9" w:rsidP="00E30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AGRounded LT Black">
    <w:panose1 w:val="02000A0303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35C9" w14:textId="77777777" w:rsidR="005076D9" w:rsidRDefault="005076D9" w:rsidP="00E307E3">
      <w:pPr>
        <w:spacing w:line="240" w:lineRule="auto"/>
      </w:pPr>
      <w:r>
        <w:separator/>
      </w:r>
    </w:p>
  </w:footnote>
  <w:footnote w:type="continuationSeparator" w:id="0">
    <w:p w14:paraId="66D4390C" w14:textId="77777777" w:rsidR="005076D9" w:rsidRDefault="005076D9" w:rsidP="00E307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A868" w14:textId="247F3B69" w:rsidR="00E307E3" w:rsidRDefault="00E307E3">
    <w:pPr>
      <w:pStyle w:val="Header"/>
    </w:pPr>
    <w:r w:rsidRPr="00C61317">
      <w:rPr>
        <w:rFonts w:ascii="Calibri" w:eastAsia="Calibri" w:hAnsi="Calibri" w:cs="Times New Roman"/>
        <w:noProof/>
        <w:sz w:val="22"/>
        <w:lang w:val="en-GB"/>
      </w:rPr>
      <w:drawing>
        <wp:inline distT="0" distB="0" distL="0" distR="0" wp14:anchorId="53F25C37" wp14:editId="13C89AC0">
          <wp:extent cx="1054100" cy="5614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000" cy="565688"/>
                  </a:xfrm>
                  <a:prstGeom prst="rect">
                    <a:avLst/>
                  </a:prstGeom>
                  <a:noFill/>
                  <a:ln>
                    <a:noFill/>
                  </a:ln>
                </pic:spPr>
              </pic:pic>
            </a:graphicData>
          </a:graphic>
        </wp:inline>
      </w:drawing>
    </w:r>
    <w:r>
      <w:t xml:space="preserve">                                                               </w:t>
    </w:r>
    <w:r w:rsidRPr="00C61317">
      <w:rPr>
        <w:rFonts w:ascii="Cambria" w:eastAsia="MS Mincho" w:hAnsi="Cambria" w:cs="Times New Roman"/>
        <w:noProof/>
        <w:sz w:val="24"/>
        <w:szCs w:val="24"/>
        <w:lang w:val="en-US"/>
      </w:rPr>
      <w:drawing>
        <wp:inline distT="0" distB="0" distL="0" distR="0" wp14:anchorId="01FEE80F" wp14:editId="2B193AA0">
          <wp:extent cx="1993900" cy="575895"/>
          <wp:effectExtent l="0" t="0" r="635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9601" cy="586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20A"/>
    <w:multiLevelType w:val="multilevel"/>
    <w:tmpl w:val="513E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63D61"/>
    <w:multiLevelType w:val="hybridMultilevel"/>
    <w:tmpl w:val="EBE8D31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1A7D8A"/>
    <w:multiLevelType w:val="multilevel"/>
    <w:tmpl w:val="36B8A91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A217B"/>
    <w:multiLevelType w:val="hybridMultilevel"/>
    <w:tmpl w:val="6366B9F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061A89"/>
    <w:multiLevelType w:val="multilevel"/>
    <w:tmpl w:val="7DA8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034CE"/>
    <w:multiLevelType w:val="hybridMultilevel"/>
    <w:tmpl w:val="EFB6B28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28E0481"/>
    <w:multiLevelType w:val="multilevel"/>
    <w:tmpl w:val="D19C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BF3D70"/>
    <w:multiLevelType w:val="multilevel"/>
    <w:tmpl w:val="616611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A66CC"/>
    <w:multiLevelType w:val="hybridMultilevel"/>
    <w:tmpl w:val="4ABC8176"/>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280440"/>
    <w:multiLevelType w:val="hybridMultilevel"/>
    <w:tmpl w:val="7DB2A7AE"/>
    <w:lvl w:ilvl="0" w:tplc="2D4037A8">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15:restartNumberingAfterBreak="0">
    <w:nsid w:val="6CBA6B80"/>
    <w:multiLevelType w:val="multilevel"/>
    <w:tmpl w:val="D630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3713DA"/>
    <w:multiLevelType w:val="multilevel"/>
    <w:tmpl w:val="D19C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065DAF"/>
    <w:multiLevelType w:val="multilevel"/>
    <w:tmpl w:val="AB80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3163A9"/>
    <w:multiLevelType w:val="multilevel"/>
    <w:tmpl w:val="28386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6A69FC"/>
    <w:multiLevelType w:val="multilevel"/>
    <w:tmpl w:val="75781CC8"/>
    <w:lvl w:ilvl="0">
      <w:start w:val="1"/>
      <w:numFmt w:val="bullet"/>
      <w:lvlText w:val="o"/>
      <w:lvlJc w:val="left"/>
      <w:pPr>
        <w:tabs>
          <w:tab w:val="num" w:pos="720"/>
        </w:tabs>
        <w:ind w:left="720" w:hanging="360"/>
      </w:pPr>
      <w:rPr>
        <w:rFonts w:ascii="Courier New" w:hAnsi="Courier New" w:cs="Courier New"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1C52CE"/>
    <w:multiLevelType w:val="multilevel"/>
    <w:tmpl w:val="D19C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D52D50"/>
    <w:multiLevelType w:val="multilevel"/>
    <w:tmpl w:val="513E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340F2"/>
    <w:multiLevelType w:val="hybridMultilevel"/>
    <w:tmpl w:val="BD4A57B8"/>
    <w:lvl w:ilvl="0" w:tplc="81922B8A">
      <w:start w:val="1"/>
      <w:numFmt w:val="decimal"/>
      <w:lvlText w:val="%1."/>
      <w:lvlJc w:val="left"/>
      <w:pPr>
        <w:ind w:left="432" w:hanging="360"/>
      </w:pPr>
      <w:rPr>
        <w:rFonts w:hint="default"/>
      </w:rPr>
    </w:lvl>
    <w:lvl w:ilvl="1" w:tplc="20000019" w:tentative="1">
      <w:start w:val="1"/>
      <w:numFmt w:val="lowerLetter"/>
      <w:lvlText w:val="%2."/>
      <w:lvlJc w:val="left"/>
      <w:pPr>
        <w:ind w:left="1152" w:hanging="360"/>
      </w:pPr>
    </w:lvl>
    <w:lvl w:ilvl="2" w:tplc="2000001B" w:tentative="1">
      <w:start w:val="1"/>
      <w:numFmt w:val="lowerRoman"/>
      <w:lvlText w:val="%3."/>
      <w:lvlJc w:val="right"/>
      <w:pPr>
        <w:ind w:left="1872" w:hanging="180"/>
      </w:pPr>
    </w:lvl>
    <w:lvl w:ilvl="3" w:tplc="2000000F" w:tentative="1">
      <w:start w:val="1"/>
      <w:numFmt w:val="decimal"/>
      <w:lvlText w:val="%4."/>
      <w:lvlJc w:val="left"/>
      <w:pPr>
        <w:ind w:left="2592" w:hanging="360"/>
      </w:pPr>
    </w:lvl>
    <w:lvl w:ilvl="4" w:tplc="20000019" w:tentative="1">
      <w:start w:val="1"/>
      <w:numFmt w:val="lowerLetter"/>
      <w:lvlText w:val="%5."/>
      <w:lvlJc w:val="left"/>
      <w:pPr>
        <w:ind w:left="3312" w:hanging="360"/>
      </w:pPr>
    </w:lvl>
    <w:lvl w:ilvl="5" w:tplc="2000001B" w:tentative="1">
      <w:start w:val="1"/>
      <w:numFmt w:val="lowerRoman"/>
      <w:lvlText w:val="%6."/>
      <w:lvlJc w:val="right"/>
      <w:pPr>
        <w:ind w:left="4032" w:hanging="180"/>
      </w:pPr>
    </w:lvl>
    <w:lvl w:ilvl="6" w:tplc="2000000F" w:tentative="1">
      <w:start w:val="1"/>
      <w:numFmt w:val="decimal"/>
      <w:lvlText w:val="%7."/>
      <w:lvlJc w:val="left"/>
      <w:pPr>
        <w:ind w:left="4752" w:hanging="360"/>
      </w:pPr>
    </w:lvl>
    <w:lvl w:ilvl="7" w:tplc="20000019" w:tentative="1">
      <w:start w:val="1"/>
      <w:numFmt w:val="lowerLetter"/>
      <w:lvlText w:val="%8."/>
      <w:lvlJc w:val="left"/>
      <w:pPr>
        <w:ind w:left="5472" w:hanging="360"/>
      </w:pPr>
    </w:lvl>
    <w:lvl w:ilvl="8" w:tplc="2000001B" w:tentative="1">
      <w:start w:val="1"/>
      <w:numFmt w:val="lowerRoman"/>
      <w:lvlText w:val="%9."/>
      <w:lvlJc w:val="right"/>
      <w:pPr>
        <w:ind w:left="6192" w:hanging="180"/>
      </w:pPr>
    </w:lvl>
  </w:abstractNum>
  <w:abstractNum w:abstractNumId="18" w15:restartNumberingAfterBreak="0">
    <w:nsid w:val="7FB343A1"/>
    <w:multiLevelType w:val="hybridMultilevel"/>
    <w:tmpl w:val="2C9CE59C"/>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19572224">
    <w:abstractNumId w:val="0"/>
  </w:num>
  <w:num w:numId="2" w16cid:durableId="1142579534">
    <w:abstractNumId w:val="12"/>
  </w:num>
  <w:num w:numId="3" w16cid:durableId="1025592684">
    <w:abstractNumId w:val="4"/>
  </w:num>
  <w:num w:numId="4" w16cid:durableId="523829905">
    <w:abstractNumId w:val="3"/>
  </w:num>
  <w:num w:numId="5" w16cid:durableId="149060589">
    <w:abstractNumId w:val="16"/>
  </w:num>
  <w:num w:numId="6" w16cid:durableId="1135483562">
    <w:abstractNumId w:val="2"/>
  </w:num>
  <w:num w:numId="7" w16cid:durableId="901519822">
    <w:abstractNumId w:val="7"/>
  </w:num>
  <w:num w:numId="8" w16cid:durableId="1061102935">
    <w:abstractNumId w:val="14"/>
  </w:num>
  <w:num w:numId="9" w16cid:durableId="1015035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6705697">
    <w:abstractNumId w:val="13"/>
  </w:num>
  <w:num w:numId="11" w16cid:durableId="924073730">
    <w:abstractNumId w:val="10"/>
  </w:num>
  <w:num w:numId="12" w16cid:durableId="2135976239">
    <w:abstractNumId w:val="15"/>
  </w:num>
  <w:num w:numId="13" w16cid:durableId="1122192264">
    <w:abstractNumId w:val="11"/>
  </w:num>
  <w:num w:numId="14" w16cid:durableId="75909777">
    <w:abstractNumId w:val="6"/>
  </w:num>
  <w:num w:numId="15" w16cid:durableId="1419517495">
    <w:abstractNumId w:val="9"/>
  </w:num>
  <w:num w:numId="16" w16cid:durableId="1821851225">
    <w:abstractNumId w:val="8"/>
  </w:num>
  <w:num w:numId="17" w16cid:durableId="784153078">
    <w:abstractNumId w:val="17"/>
  </w:num>
  <w:num w:numId="18" w16cid:durableId="121268153">
    <w:abstractNumId w:val="1"/>
  </w:num>
  <w:num w:numId="19" w16cid:durableId="1155031567">
    <w:abstractNumId w:val="18"/>
  </w:num>
  <w:num w:numId="20" w16cid:durableId="624696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DB"/>
    <w:rsid w:val="00003A6C"/>
    <w:rsid w:val="00044509"/>
    <w:rsid w:val="00074C9E"/>
    <w:rsid w:val="000811D1"/>
    <w:rsid w:val="000C1258"/>
    <w:rsid w:val="000C1862"/>
    <w:rsid w:val="000F552E"/>
    <w:rsid w:val="000F5857"/>
    <w:rsid w:val="001349B5"/>
    <w:rsid w:val="001A2D1A"/>
    <w:rsid w:val="002272D1"/>
    <w:rsid w:val="0025589B"/>
    <w:rsid w:val="00255E22"/>
    <w:rsid w:val="00273B67"/>
    <w:rsid w:val="00275EDB"/>
    <w:rsid w:val="003202A9"/>
    <w:rsid w:val="003231CC"/>
    <w:rsid w:val="003244C1"/>
    <w:rsid w:val="003B2C56"/>
    <w:rsid w:val="003E49AE"/>
    <w:rsid w:val="00456BB4"/>
    <w:rsid w:val="00472848"/>
    <w:rsid w:val="00500BAB"/>
    <w:rsid w:val="005076D9"/>
    <w:rsid w:val="00514746"/>
    <w:rsid w:val="00575DE5"/>
    <w:rsid w:val="005A10F3"/>
    <w:rsid w:val="005B0685"/>
    <w:rsid w:val="005B78E3"/>
    <w:rsid w:val="005C2BEC"/>
    <w:rsid w:val="00621E88"/>
    <w:rsid w:val="0065036C"/>
    <w:rsid w:val="00653D5B"/>
    <w:rsid w:val="006A53F3"/>
    <w:rsid w:val="007406E4"/>
    <w:rsid w:val="00784381"/>
    <w:rsid w:val="00784F1B"/>
    <w:rsid w:val="007F5377"/>
    <w:rsid w:val="00876927"/>
    <w:rsid w:val="008855AF"/>
    <w:rsid w:val="00894A1B"/>
    <w:rsid w:val="0097372A"/>
    <w:rsid w:val="009B334F"/>
    <w:rsid w:val="009D46F6"/>
    <w:rsid w:val="00A333FE"/>
    <w:rsid w:val="00A437D2"/>
    <w:rsid w:val="00A6011D"/>
    <w:rsid w:val="00A81C47"/>
    <w:rsid w:val="00AD592D"/>
    <w:rsid w:val="00B0571C"/>
    <w:rsid w:val="00BB7862"/>
    <w:rsid w:val="00C30F09"/>
    <w:rsid w:val="00C52805"/>
    <w:rsid w:val="00C74D24"/>
    <w:rsid w:val="00C80DA2"/>
    <w:rsid w:val="00C9242E"/>
    <w:rsid w:val="00C93F2E"/>
    <w:rsid w:val="00CA5948"/>
    <w:rsid w:val="00CC7AE1"/>
    <w:rsid w:val="00CE4B29"/>
    <w:rsid w:val="00D5227A"/>
    <w:rsid w:val="00D7401C"/>
    <w:rsid w:val="00DB3F44"/>
    <w:rsid w:val="00DF58EB"/>
    <w:rsid w:val="00E138F8"/>
    <w:rsid w:val="00E1559F"/>
    <w:rsid w:val="00E307E3"/>
    <w:rsid w:val="00E42419"/>
    <w:rsid w:val="00E5205D"/>
    <w:rsid w:val="00E61CC5"/>
    <w:rsid w:val="00EB3F53"/>
    <w:rsid w:val="00ED1C55"/>
    <w:rsid w:val="00ED1EC3"/>
    <w:rsid w:val="00F179D2"/>
    <w:rsid w:val="00F3742D"/>
    <w:rsid w:val="00F47F70"/>
    <w:rsid w:val="00F52429"/>
    <w:rsid w:val="00F7127C"/>
    <w:rsid w:val="00F749F9"/>
    <w:rsid w:val="00FB0C8A"/>
    <w:rsid w:val="00FB1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96A8"/>
  <w15:chartTrackingRefBased/>
  <w15:docId w15:val="{508BB3F0-7B08-412F-A17B-C1042515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CC"/>
    <w:pPr>
      <w:spacing w:after="0"/>
    </w:pPr>
    <w:rPr>
      <w:rFonts w:ascii="Verdana" w:hAnsi="Verdana"/>
      <w:sz w:val="17"/>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paragraph" w:styleId="ListParagraph">
    <w:name w:val="List Paragraph"/>
    <w:basedOn w:val="Normal"/>
    <w:uiPriority w:val="34"/>
    <w:qFormat/>
    <w:rsid w:val="00275EDB"/>
    <w:pPr>
      <w:ind w:left="720"/>
      <w:contextualSpacing/>
    </w:pPr>
  </w:style>
  <w:style w:type="paragraph" w:styleId="BodyText">
    <w:name w:val="Body Text"/>
    <w:basedOn w:val="Normal"/>
    <w:link w:val="BodyTextChar"/>
    <w:qFormat/>
    <w:rsid w:val="000F552E"/>
    <w:pPr>
      <w:tabs>
        <w:tab w:val="left" w:pos="284"/>
        <w:tab w:val="left" w:pos="482"/>
        <w:tab w:val="left" w:pos="1134"/>
      </w:tabs>
      <w:spacing w:line="260" w:lineRule="atLeast"/>
    </w:pPr>
    <w:rPr>
      <w:rFonts w:asciiTheme="minorHAnsi" w:eastAsiaTheme="minorEastAsia" w:hAnsiTheme="minorHAnsi" w:cs="Times New Roman"/>
      <w:sz w:val="16"/>
      <w:szCs w:val="24"/>
      <w:lang w:val="en-GB"/>
    </w:rPr>
  </w:style>
  <w:style w:type="character" w:customStyle="1" w:styleId="BodyTextChar">
    <w:name w:val="Body Text Char"/>
    <w:basedOn w:val="DefaultParagraphFont"/>
    <w:link w:val="BodyText"/>
    <w:rsid w:val="000F552E"/>
    <w:rPr>
      <w:rFonts w:eastAsiaTheme="minorEastAsia" w:cs="Times New Roman"/>
      <w:sz w:val="16"/>
      <w:szCs w:val="24"/>
      <w:lang w:val="en-GB"/>
    </w:rPr>
  </w:style>
  <w:style w:type="paragraph" w:styleId="Revision">
    <w:name w:val="Revision"/>
    <w:hidden/>
    <w:uiPriority w:val="99"/>
    <w:semiHidden/>
    <w:rsid w:val="00E61CC5"/>
    <w:pPr>
      <w:spacing w:after="0" w:line="240" w:lineRule="auto"/>
    </w:pPr>
    <w:rPr>
      <w:rFonts w:ascii="Verdana" w:hAnsi="Verdana"/>
      <w:sz w:val="17"/>
    </w:rPr>
  </w:style>
  <w:style w:type="paragraph" w:styleId="Header">
    <w:name w:val="header"/>
    <w:basedOn w:val="Normal"/>
    <w:link w:val="HeaderChar"/>
    <w:uiPriority w:val="99"/>
    <w:unhideWhenUsed/>
    <w:rsid w:val="00E307E3"/>
    <w:pPr>
      <w:tabs>
        <w:tab w:val="center" w:pos="4513"/>
        <w:tab w:val="right" w:pos="9026"/>
      </w:tabs>
      <w:spacing w:line="240" w:lineRule="auto"/>
    </w:pPr>
  </w:style>
  <w:style w:type="character" w:customStyle="1" w:styleId="HeaderChar">
    <w:name w:val="Header Char"/>
    <w:basedOn w:val="DefaultParagraphFont"/>
    <w:link w:val="Header"/>
    <w:uiPriority w:val="99"/>
    <w:rsid w:val="00E307E3"/>
    <w:rPr>
      <w:rFonts w:ascii="Verdana" w:hAnsi="Verdana"/>
      <w:sz w:val="17"/>
    </w:rPr>
  </w:style>
  <w:style w:type="paragraph" w:styleId="Footer">
    <w:name w:val="footer"/>
    <w:basedOn w:val="Normal"/>
    <w:link w:val="FooterChar"/>
    <w:uiPriority w:val="99"/>
    <w:unhideWhenUsed/>
    <w:rsid w:val="00E307E3"/>
    <w:pPr>
      <w:tabs>
        <w:tab w:val="center" w:pos="4513"/>
        <w:tab w:val="right" w:pos="9026"/>
      </w:tabs>
      <w:spacing w:line="240" w:lineRule="auto"/>
    </w:pPr>
  </w:style>
  <w:style w:type="character" w:customStyle="1" w:styleId="FooterChar">
    <w:name w:val="Footer Char"/>
    <w:basedOn w:val="DefaultParagraphFont"/>
    <w:link w:val="Footer"/>
    <w:uiPriority w:val="99"/>
    <w:rsid w:val="00E307E3"/>
    <w:rPr>
      <w:rFonts w:ascii="Verdana" w:hAnsi="Verdana"/>
      <w:sz w:val="17"/>
    </w:rPr>
  </w:style>
  <w:style w:type="character" w:styleId="Hyperlink">
    <w:name w:val="Hyperlink"/>
    <w:basedOn w:val="DefaultParagraphFont"/>
    <w:uiPriority w:val="99"/>
    <w:unhideWhenUsed/>
    <w:rsid w:val="00E30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58351">
      <w:bodyDiv w:val="1"/>
      <w:marLeft w:val="0"/>
      <w:marRight w:val="0"/>
      <w:marTop w:val="0"/>
      <w:marBottom w:val="0"/>
      <w:divBdr>
        <w:top w:val="none" w:sz="0" w:space="0" w:color="auto"/>
        <w:left w:val="none" w:sz="0" w:space="0" w:color="auto"/>
        <w:bottom w:val="none" w:sz="0" w:space="0" w:color="auto"/>
        <w:right w:val="none" w:sz="0" w:space="0" w:color="auto"/>
      </w:divBdr>
    </w:div>
    <w:div w:id="1139571741">
      <w:bodyDiv w:val="1"/>
      <w:marLeft w:val="0"/>
      <w:marRight w:val="0"/>
      <w:marTop w:val="0"/>
      <w:marBottom w:val="0"/>
      <w:divBdr>
        <w:top w:val="none" w:sz="0" w:space="0" w:color="auto"/>
        <w:left w:val="none" w:sz="0" w:space="0" w:color="auto"/>
        <w:bottom w:val="none" w:sz="0" w:space="0" w:color="auto"/>
        <w:right w:val="none" w:sz="0" w:space="0" w:color="auto"/>
      </w:divBdr>
    </w:div>
    <w:div w:id="1623996519">
      <w:bodyDiv w:val="1"/>
      <w:marLeft w:val="0"/>
      <w:marRight w:val="0"/>
      <w:marTop w:val="0"/>
      <w:marBottom w:val="0"/>
      <w:divBdr>
        <w:top w:val="none" w:sz="0" w:space="0" w:color="auto"/>
        <w:left w:val="none" w:sz="0" w:space="0" w:color="auto"/>
        <w:bottom w:val="none" w:sz="0" w:space="0" w:color="auto"/>
        <w:right w:val="none" w:sz="0" w:space="0" w:color="auto"/>
      </w:divBdr>
    </w:div>
    <w:div w:id="18663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gandatenders@sn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Okello Omach, Robert</dc:creator>
  <cp:keywords/>
  <dc:description/>
  <cp:lastModifiedBy>Etunganan, Jacob</cp:lastModifiedBy>
  <cp:revision>2</cp:revision>
  <dcterms:created xsi:type="dcterms:W3CDTF">2022-12-06T12:09:00Z</dcterms:created>
  <dcterms:modified xsi:type="dcterms:W3CDTF">2022-12-06T12:09:00Z</dcterms:modified>
</cp:coreProperties>
</file>