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28C0" w14:textId="1CE04976" w:rsidR="00086F82" w:rsidRDefault="00086F82" w:rsidP="0094706C">
      <w:pPr>
        <w:pStyle w:val="Heading1"/>
        <w:rPr>
          <w:b/>
          <w:bCs/>
          <w:sz w:val="20"/>
          <w:szCs w:val="20"/>
          <w:lang w:val="en-GB"/>
        </w:rPr>
      </w:pPr>
      <w:r w:rsidRPr="00086F82">
        <w:rPr>
          <w:b/>
          <w:bCs/>
          <w:noProof/>
          <w:sz w:val="20"/>
          <w:szCs w:val="20"/>
        </w:rPr>
        <w:drawing>
          <wp:inline distT="0" distB="0" distL="0" distR="0" wp14:anchorId="384C2BD5" wp14:editId="32706505">
            <wp:extent cx="1180465" cy="623873"/>
            <wp:effectExtent l="0" t="0" r="635" b="508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918" cy="64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0C30FE9F" wp14:editId="52013D79">
            <wp:extent cx="608313" cy="829945"/>
            <wp:effectExtent l="0" t="0" r="1905" b="8255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979DD20-DAFF-45D9-8131-02514F7D96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7979DD20-DAFF-45D9-8131-02514F7D96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720" cy="8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DE02F" w14:textId="660F7BE0" w:rsidR="00514746" w:rsidRPr="0015799B" w:rsidRDefault="0062629E" w:rsidP="00614F8F">
      <w:pPr>
        <w:pStyle w:val="Heading1"/>
        <w:jc w:val="center"/>
        <w:rPr>
          <w:b/>
          <w:bCs/>
          <w:sz w:val="20"/>
          <w:szCs w:val="20"/>
          <w:lang w:val="en-GB"/>
        </w:rPr>
      </w:pPr>
      <w:r w:rsidRPr="0015799B">
        <w:rPr>
          <w:b/>
          <w:bCs/>
          <w:sz w:val="20"/>
          <w:szCs w:val="20"/>
          <w:lang w:val="en-GB"/>
        </w:rPr>
        <w:t>Terms of Reference</w:t>
      </w:r>
    </w:p>
    <w:p w14:paraId="09AA73B7" w14:textId="200AC674" w:rsidR="0062629E" w:rsidRDefault="0062629E" w:rsidP="00614F8F">
      <w:pPr>
        <w:pStyle w:val="Heading1"/>
        <w:jc w:val="center"/>
        <w:rPr>
          <w:sz w:val="20"/>
          <w:szCs w:val="20"/>
          <w:lang w:val="en-GB"/>
        </w:rPr>
      </w:pPr>
      <w:r w:rsidRPr="0015799B">
        <w:rPr>
          <w:sz w:val="20"/>
          <w:szCs w:val="20"/>
          <w:lang w:val="en-GB"/>
        </w:rPr>
        <w:t>Biofertili</w:t>
      </w:r>
      <w:r w:rsidR="00F63114">
        <w:rPr>
          <w:sz w:val="20"/>
          <w:szCs w:val="20"/>
          <w:lang w:val="en-GB"/>
        </w:rPr>
        <w:t>z</w:t>
      </w:r>
      <w:r w:rsidRPr="0015799B">
        <w:rPr>
          <w:sz w:val="20"/>
          <w:szCs w:val="20"/>
          <w:lang w:val="en-GB"/>
        </w:rPr>
        <w:t>er Market Assessment in Zambia</w:t>
      </w:r>
    </w:p>
    <w:p w14:paraId="325ED055" w14:textId="5DDFD04B" w:rsidR="0094706C" w:rsidRPr="0094706C" w:rsidRDefault="005955B6" w:rsidP="0094706C">
      <w:pPr>
        <w:jc w:val="center"/>
        <w:rPr>
          <w:lang w:val="en-GB"/>
        </w:rPr>
      </w:pPr>
      <w:r>
        <w:rPr>
          <w:lang w:val="en-GB"/>
        </w:rPr>
        <w:t>May 2021</w:t>
      </w:r>
    </w:p>
    <w:p w14:paraId="6B25D798" w14:textId="77777777" w:rsidR="0062629E" w:rsidRPr="0015799B" w:rsidRDefault="0062629E">
      <w:pPr>
        <w:rPr>
          <w:sz w:val="20"/>
          <w:szCs w:val="20"/>
          <w:lang w:val="en-GB"/>
        </w:rPr>
      </w:pPr>
    </w:p>
    <w:p w14:paraId="25CCD131" w14:textId="77777777" w:rsidR="0062629E" w:rsidRPr="00A732A3" w:rsidRDefault="0062629E">
      <w:pPr>
        <w:rPr>
          <w:sz w:val="20"/>
          <w:szCs w:val="20"/>
          <w:lang w:val="en-GB"/>
        </w:rPr>
      </w:pPr>
    </w:p>
    <w:p w14:paraId="4ACC62F7" w14:textId="77777777" w:rsidR="0062629E" w:rsidRPr="0015799B" w:rsidRDefault="0062629E" w:rsidP="00614F8F">
      <w:pPr>
        <w:pStyle w:val="Heading2"/>
        <w:rPr>
          <w:sz w:val="20"/>
          <w:szCs w:val="20"/>
          <w:lang w:val="en-GB"/>
        </w:rPr>
      </w:pPr>
      <w:r w:rsidRPr="0015799B">
        <w:rPr>
          <w:sz w:val="20"/>
          <w:szCs w:val="20"/>
          <w:lang w:val="en-GB"/>
        </w:rPr>
        <w:t>Background</w:t>
      </w:r>
    </w:p>
    <w:p w14:paraId="3E23B3A2" w14:textId="56A1DB80" w:rsidR="00D54BF7" w:rsidRPr="0015799B" w:rsidRDefault="00D54BF7" w:rsidP="00D54BF7">
      <w:pPr>
        <w:rPr>
          <w:sz w:val="20"/>
          <w:szCs w:val="20"/>
          <w:lang w:val="en-GB"/>
        </w:rPr>
      </w:pPr>
      <w:bookmarkStart w:id="0" w:name="_Hlk34216267"/>
      <w:r w:rsidRPr="0015799B">
        <w:rPr>
          <w:sz w:val="20"/>
          <w:szCs w:val="20"/>
          <w:lang w:val="en-GB"/>
        </w:rPr>
        <w:t>SNV Netherlands Development Organisation</w:t>
      </w:r>
      <w:bookmarkEnd w:id="0"/>
      <w:r w:rsidRPr="0015799B">
        <w:rPr>
          <w:sz w:val="20"/>
          <w:szCs w:val="20"/>
          <w:lang w:val="en-GB"/>
        </w:rPr>
        <w:t xml:space="preserve"> (SNV) is a not-for-profit international development organisation founded in the Netherlands in 1965, with local presence in over 3</w:t>
      </w:r>
      <w:r w:rsidR="0094706C">
        <w:rPr>
          <w:sz w:val="20"/>
          <w:szCs w:val="20"/>
          <w:lang w:val="en-GB"/>
        </w:rPr>
        <w:t>0</w:t>
      </w:r>
      <w:r w:rsidRPr="0015799B">
        <w:rPr>
          <w:sz w:val="20"/>
          <w:szCs w:val="20"/>
          <w:lang w:val="en-GB"/>
        </w:rPr>
        <w:t xml:space="preserve"> developing countries in Asia, Africa, and Latin America. </w:t>
      </w:r>
      <w:bookmarkStart w:id="1" w:name="_Hlk66272020"/>
      <w:r w:rsidRPr="0015799B">
        <w:rPr>
          <w:sz w:val="20"/>
          <w:szCs w:val="20"/>
          <w:lang w:val="en-GB"/>
        </w:rPr>
        <w:t>SNV provides advisory services, knowledge networking and supporting advocacy in the agriculture, water, sanitation and hygiene and renewable energy sectors.</w:t>
      </w:r>
      <w:bookmarkEnd w:id="1"/>
      <w:r w:rsidRPr="0015799B">
        <w:rPr>
          <w:sz w:val="20"/>
          <w:szCs w:val="20"/>
          <w:lang w:val="en-GB"/>
        </w:rPr>
        <w:t xml:space="preserve"> </w:t>
      </w:r>
      <w:r w:rsidR="0094706C" w:rsidRPr="0015799B">
        <w:rPr>
          <w:sz w:val="20"/>
          <w:szCs w:val="20"/>
          <w:lang w:val="en-GB"/>
        </w:rPr>
        <w:t xml:space="preserve">Driven by the Sustainable Development Goals (SDGs), </w:t>
      </w:r>
      <w:r w:rsidRPr="0015799B">
        <w:rPr>
          <w:sz w:val="20"/>
          <w:szCs w:val="20"/>
          <w:lang w:val="en-GB"/>
        </w:rPr>
        <w:t>SNV’s advisors work with local partners to equip communities, businesses and organisations with the tools, knowledge, and connections they need to increase their incomes and gain access to basic services.</w:t>
      </w:r>
    </w:p>
    <w:p w14:paraId="7AAF303B" w14:textId="77777777" w:rsidR="00D54BF7" w:rsidRPr="0015799B" w:rsidRDefault="00D54BF7" w:rsidP="00D54BF7">
      <w:pPr>
        <w:rPr>
          <w:sz w:val="20"/>
          <w:szCs w:val="20"/>
          <w:lang w:val="en-GB"/>
        </w:rPr>
      </w:pPr>
    </w:p>
    <w:p w14:paraId="0D7A012D" w14:textId="68A7BEC3" w:rsidR="00D54BF7" w:rsidRPr="0015799B" w:rsidRDefault="0094706C" w:rsidP="00D54BF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Since</w:t>
      </w:r>
      <w:r w:rsidR="00315B79" w:rsidRPr="0015799B">
        <w:rPr>
          <w:sz w:val="20"/>
          <w:szCs w:val="20"/>
          <w:lang w:val="en-GB"/>
        </w:rPr>
        <w:t xml:space="preserve"> 2020, </w:t>
      </w:r>
      <w:r w:rsidR="00D54BF7" w:rsidRPr="0015799B">
        <w:rPr>
          <w:sz w:val="20"/>
          <w:szCs w:val="20"/>
          <w:lang w:val="en-GB"/>
        </w:rPr>
        <w:t xml:space="preserve">SNV is implementing a </w:t>
      </w:r>
      <w:r w:rsidR="00315B79" w:rsidRPr="0015799B">
        <w:rPr>
          <w:sz w:val="20"/>
          <w:szCs w:val="20"/>
          <w:lang w:val="en-GB"/>
        </w:rPr>
        <w:t xml:space="preserve">three-year </w:t>
      </w:r>
      <w:r w:rsidR="00D54BF7" w:rsidRPr="0015799B">
        <w:rPr>
          <w:sz w:val="20"/>
          <w:szCs w:val="20"/>
          <w:lang w:val="en-GB"/>
        </w:rPr>
        <w:t xml:space="preserve">project called </w:t>
      </w:r>
      <w:r w:rsidR="00315B79" w:rsidRPr="0015799B">
        <w:rPr>
          <w:i/>
          <w:iCs/>
          <w:sz w:val="20"/>
          <w:szCs w:val="20"/>
          <w:lang w:val="en-GB"/>
        </w:rPr>
        <w:t>INCREASE</w:t>
      </w:r>
      <w:r w:rsidR="00D54BF7" w:rsidRPr="0015799B">
        <w:rPr>
          <w:sz w:val="20"/>
          <w:szCs w:val="20"/>
          <w:lang w:val="en-GB"/>
        </w:rPr>
        <w:t xml:space="preserve"> (Increasing Climate Resilience in Energy and Agricultural Systems and Entrepreneurship)</w:t>
      </w:r>
      <w:r w:rsidR="00F63114">
        <w:rPr>
          <w:sz w:val="20"/>
          <w:szCs w:val="20"/>
          <w:lang w:val="en-GB"/>
        </w:rPr>
        <w:t>.</w:t>
      </w:r>
      <w:r w:rsidR="00D54BF7" w:rsidRPr="0015799B">
        <w:rPr>
          <w:sz w:val="20"/>
          <w:szCs w:val="20"/>
          <w:lang w:val="en-GB"/>
        </w:rPr>
        <w:t xml:space="preserve"> </w:t>
      </w:r>
      <w:r w:rsidR="00315B79" w:rsidRPr="0015799B">
        <w:rPr>
          <w:sz w:val="20"/>
          <w:szCs w:val="20"/>
          <w:lang w:val="en-GB"/>
        </w:rPr>
        <w:t>The INCREASE</w:t>
      </w:r>
      <w:r w:rsidR="00D54BF7" w:rsidRPr="0015799B">
        <w:rPr>
          <w:sz w:val="20"/>
          <w:szCs w:val="20"/>
          <w:lang w:val="en-GB"/>
        </w:rPr>
        <w:t xml:space="preserve"> </w:t>
      </w:r>
      <w:r w:rsidR="00315B79" w:rsidRPr="0015799B">
        <w:rPr>
          <w:sz w:val="20"/>
          <w:szCs w:val="20"/>
          <w:lang w:val="en-GB"/>
        </w:rPr>
        <w:t xml:space="preserve">project </w:t>
      </w:r>
      <w:r w:rsidR="00D54BF7" w:rsidRPr="0015799B">
        <w:rPr>
          <w:sz w:val="20"/>
          <w:szCs w:val="20"/>
          <w:lang w:val="en-GB"/>
        </w:rPr>
        <w:t>is funded by the Swedish International Development Agency</w:t>
      </w:r>
      <w:r w:rsidR="00315B79" w:rsidRPr="0015799B">
        <w:rPr>
          <w:sz w:val="20"/>
          <w:szCs w:val="20"/>
          <w:lang w:val="en-GB"/>
        </w:rPr>
        <w:t>.</w:t>
      </w:r>
    </w:p>
    <w:p w14:paraId="1C8BD545" w14:textId="77777777" w:rsidR="00D54BF7" w:rsidRPr="0015799B" w:rsidRDefault="00D54BF7" w:rsidP="00D54BF7">
      <w:pPr>
        <w:rPr>
          <w:sz w:val="20"/>
          <w:szCs w:val="20"/>
          <w:lang w:val="en-GB"/>
        </w:rPr>
      </w:pPr>
    </w:p>
    <w:p w14:paraId="1B62F5D1" w14:textId="77777777" w:rsidR="00980698" w:rsidRPr="0015799B" w:rsidRDefault="00980698" w:rsidP="00980698">
      <w:pPr>
        <w:rPr>
          <w:sz w:val="20"/>
          <w:szCs w:val="20"/>
          <w:lang w:val="en-GB"/>
        </w:rPr>
      </w:pPr>
      <w:r w:rsidRPr="0015799B">
        <w:rPr>
          <w:sz w:val="20"/>
          <w:szCs w:val="20"/>
          <w:lang w:val="en-GB"/>
        </w:rPr>
        <w:t xml:space="preserve">The INCREASE project </w:t>
      </w:r>
      <w:r>
        <w:rPr>
          <w:sz w:val="20"/>
          <w:szCs w:val="20"/>
          <w:lang w:val="en-GB"/>
        </w:rPr>
        <w:t>aims to</w:t>
      </w:r>
      <w:r w:rsidRPr="0015799B">
        <w:rPr>
          <w:sz w:val="20"/>
          <w:szCs w:val="20"/>
          <w:lang w:val="en-GB"/>
        </w:rPr>
        <w:t xml:space="preserve"> demonstrate that an integrated private sector approach to climate change is commercially viable and environmentally sustainable</w:t>
      </w:r>
      <w:r>
        <w:rPr>
          <w:sz w:val="20"/>
          <w:szCs w:val="20"/>
          <w:lang w:val="en-GB"/>
        </w:rPr>
        <w:t>.</w:t>
      </w:r>
      <w:r w:rsidRPr="0015799B">
        <w:rPr>
          <w:sz w:val="20"/>
          <w:szCs w:val="20"/>
          <w:lang w:val="en-GB"/>
        </w:rPr>
        <w:t xml:space="preserve"> The intervention is expected to contribute to increased </w:t>
      </w:r>
      <w:r>
        <w:rPr>
          <w:sz w:val="20"/>
          <w:szCs w:val="20"/>
          <w:lang w:val="en-GB"/>
        </w:rPr>
        <w:t>profits</w:t>
      </w:r>
      <w:r w:rsidRPr="0015799B">
        <w:rPr>
          <w:sz w:val="20"/>
          <w:szCs w:val="20"/>
          <w:lang w:val="en-GB"/>
        </w:rPr>
        <w:t xml:space="preserve"> for the companies and stable incomes and improved livelihoods for the smallholder farmers</w:t>
      </w:r>
      <w:r>
        <w:rPr>
          <w:sz w:val="20"/>
          <w:szCs w:val="20"/>
          <w:lang w:val="en-GB"/>
        </w:rPr>
        <w:t>.</w:t>
      </w:r>
    </w:p>
    <w:p w14:paraId="5E430564" w14:textId="77777777" w:rsidR="00980698" w:rsidRDefault="00980698" w:rsidP="001D5FFC">
      <w:pPr>
        <w:rPr>
          <w:sz w:val="20"/>
          <w:szCs w:val="20"/>
          <w:lang w:val="en-GB"/>
        </w:rPr>
      </w:pPr>
    </w:p>
    <w:p w14:paraId="03F15258" w14:textId="17FDCD38" w:rsidR="00980698" w:rsidRDefault="00F63114" w:rsidP="001D5FFC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</w:t>
      </w:r>
      <w:r w:rsidR="00D54BF7" w:rsidRPr="0015799B">
        <w:rPr>
          <w:sz w:val="20"/>
          <w:szCs w:val="20"/>
          <w:lang w:val="en-GB"/>
        </w:rPr>
        <w:t xml:space="preserve">project </w:t>
      </w:r>
      <w:r w:rsidR="00315B79" w:rsidRPr="0015799B">
        <w:rPr>
          <w:sz w:val="20"/>
          <w:szCs w:val="20"/>
          <w:lang w:val="en-GB"/>
        </w:rPr>
        <w:t xml:space="preserve">is working with agri-businesses, SMEs and small-holder farmer out-grower schemes in dairy, </w:t>
      </w:r>
      <w:r w:rsidR="0094706C" w:rsidRPr="0015799B">
        <w:rPr>
          <w:sz w:val="20"/>
          <w:szCs w:val="20"/>
          <w:lang w:val="en-GB"/>
        </w:rPr>
        <w:t>cotton,</w:t>
      </w:r>
      <w:r w:rsidR="00315B79" w:rsidRPr="0015799B">
        <w:rPr>
          <w:sz w:val="20"/>
          <w:szCs w:val="20"/>
          <w:lang w:val="en-GB"/>
        </w:rPr>
        <w:t xml:space="preserve"> and horticulture value chains to stabilise </w:t>
      </w:r>
      <w:r w:rsidR="00911D6E">
        <w:rPr>
          <w:sz w:val="20"/>
          <w:szCs w:val="20"/>
          <w:lang w:val="en-GB"/>
        </w:rPr>
        <w:t xml:space="preserve">and then increase </w:t>
      </w:r>
      <w:r w:rsidR="00315B79" w:rsidRPr="0015799B">
        <w:rPr>
          <w:sz w:val="20"/>
          <w:szCs w:val="20"/>
          <w:lang w:val="en-GB"/>
        </w:rPr>
        <w:t xml:space="preserve">production and productivity. </w:t>
      </w:r>
      <w:r w:rsidR="0094706C">
        <w:rPr>
          <w:sz w:val="20"/>
          <w:szCs w:val="20"/>
          <w:lang w:val="en-GB"/>
        </w:rPr>
        <w:t>It do</w:t>
      </w:r>
      <w:r w:rsidR="001360CD">
        <w:rPr>
          <w:sz w:val="20"/>
          <w:szCs w:val="20"/>
          <w:lang w:val="en-GB"/>
        </w:rPr>
        <w:t xml:space="preserve">es so by </w:t>
      </w:r>
      <w:r w:rsidR="00B22E71">
        <w:rPr>
          <w:sz w:val="20"/>
          <w:szCs w:val="20"/>
          <w:lang w:val="en-GB"/>
        </w:rPr>
        <w:t xml:space="preserve">expanding the offer of </w:t>
      </w:r>
      <w:r w:rsidR="0094706C" w:rsidRPr="0015799B">
        <w:rPr>
          <w:sz w:val="20"/>
          <w:szCs w:val="20"/>
          <w:lang w:val="en-GB"/>
        </w:rPr>
        <w:t>climate smart inputs</w:t>
      </w:r>
      <w:r w:rsidR="001360CD">
        <w:rPr>
          <w:sz w:val="20"/>
          <w:szCs w:val="20"/>
          <w:lang w:val="en-GB"/>
        </w:rPr>
        <w:t xml:space="preserve"> </w:t>
      </w:r>
      <w:r w:rsidR="00B22E71">
        <w:rPr>
          <w:sz w:val="20"/>
          <w:szCs w:val="20"/>
          <w:lang w:val="en-GB"/>
        </w:rPr>
        <w:t xml:space="preserve">and services </w:t>
      </w:r>
      <w:r w:rsidR="001360CD">
        <w:rPr>
          <w:sz w:val="20"/>
          <w:szCs w:val="20"/>
          <w:lang w:val="en-GB"/>
        </w:rPr>
        <w:t xml:space="preserve">(for example: </w:t>
      </w:r>
      <w:r w:rsidR="00B22E71">
        <w:rPr>
          <w:sz w:val="20"/>
          <w:szCs w:val="20"/>
          <w:lang w:val="en-GB"/>
        </w:rPr>
        <w:t xml:space="preserve">soil testing, </w:t>
      </w:r>
      <w:proofErr w:type="spellStart"/>
      <w:r w:rsidR="001360CD">
        <w:rPr>
          <w:sz w:val="20"/>
          <w:szCs w:val="20"/>
          <w:lang w:val="en-GB"/>
        </w:rPr>
        <w:t>Magoye</w:t>
      </w:r>
      <w:proofErr w:type="spellEnd"/>
      <w:r w:rsidR="001360CD">
        <w:rPr>
          <w:sz w:val="20"/>
          <w:szCs w:val="20"/>
          <w:lang w:val="en-GB"/>
        </w:rPr>
        <w:t xml:space="preserve"> rippers, drought resistant seeds, hybrid varieties</w:t>
      </w:r>
      <w:r w:rsidR="0094706C" w:rsidRPr="0015799B">
        <w:rPr>
          <w:sz w:val="20"/>
          <w:szCs w:val="20"/>
          <w:lang w:val="en-GB"/>
        </w:rPr>
        <w:t xml:space="preserve">, </w:t>
      </w:r>
      <w:r w:rsidR="001360CD">
        <w:rPr>
          <w:sz w:val="20"/>
          <w:szCs w:val="20"/>
          <w:lang w:val="en-GB"/>
        </w:rPr>
        <w:t xml:space="preserve">agroforestry compost, bacterial pesticides, solar irrigation, practicing </w:t>
      </w:r>
      <w:r w:rsidR="0094706C" w:rsidRPr="0015799B">
        <w:rPr>
          <w:sz w:val="20"/>
          <w:szCs w:val="20"/>
          <w:lang w:val="en-GB"/>
        </w:rPr>
        <w:t xml:space="preserve">integrated soil fertility management, </w:t>
      </w:r>
      <w:r w:rsidR="001360CD">
        <w:rPr>
          <w:sz w:val="20"/>
          <w:szCs w:val="20"/>
          <w:lang w:val="en-GB"/>
        </w:rPr>
        <w:t>integrated pest management</w:t>
      </w:r>
      <w:r>
        <w:rPr>
          <w:sz w:val="20"/>
          <w:szCs w:val="20"/>
          <w:lang w:val="en-GB"/>
        </w:rPr>
        <w:t xml:space="preserve">, </w:t>
      </w:r>
      <w:r w:rsidR="0094706C" w:rsidRPr="0015799B">
        <w:rPr>
          <w:sz w:val="20"/>
          <w:szCs w:val="20"/>
          <w:lang w:val="en-GB"/>
        </w:rPr>
        <w:t>integration of agroforestry and use of bio-</w:t>
      </w:r>
      <w:r>
        <w:rPr>
          <w:sz w:val="20"/>
          <w:szCs w:val="20"/>
          <w:lang w:val="en-GB"/>
        </w:rPr>
        <w:t>fertilizer</w:t>
      </w:r>
      <w:r w:rsidR="00B22E71">
        <w:rPr>
          <w:sz w:val="20"/>
          <w:szCs w:val="20"/>
          <w:lang w:val="en-GB"/>
        </w:rPr>
        <w:t>)</w:t>
      </w:r>
      <w:r w:rsidR="0094706C" w:rsidRPr="0015799B">
        <w:rPr>
          <w:sz w:val="20"/>
          <w:szCs w:val="20"/>
          <w:lang w:val="en-GB"/>
        </w:rPr>
        <w:t>.</w:t>
      </w:r>
      <w:r w:rsidR="00934759">
        <w:rPr>
          <w:sz w:val="20"/>
          <w:szCs w:val="20"/>
          <w:lang w:val="en-GB"/>
        </w:rPr>
        <w:t xml:space="preserve"> </w:t>
      </w:r>
    </w:p>
    <w:p w14:paraId="0C5B7E91" w14:textId="77777777" w:rsidR="00934759" w:rsidRDefault="00934759" w:rsidP="001D5FFC">
      <w:pPr>
        <w:rPr>
          <w:sz w:val="20"/>
          <w:szCs w:val="20"/>
          <w:lang w:val="en-GB"/>
        </w:rPr>
      </w:pPr>
    </w:p>
    <w:p w14:paraId="303DD253" w14:textId="3911FC07" w:rsidR="00F92B4D" w:rsidRDefault="00F63114" w:rsidP="001D5FFC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 key input to increasing climate resilience in all agricultural value chains is </w:t>
      </w:r>
      <w:r w:rsidR="00F92B4D" w:rsidRPr="0015799B">
        <w:rPr>
          <w:sz w:val="20"/>
          <w:szCs w:val="20"/>
          <w:lang w:val="en-GB"/>
        </w:rPr>
        <w:t>the promotion of biofertili</w:t>
      </w:r>
      <w:r>
        <w:rPr>
          <w:sz w:val="20"/>
          <w:szCs w:val="20"/>
          <w:lang w:val="en-GB"/>
        </w:rPr>
        <w:t>z</w:t>
      </w:r>
      <w:r w:rsidR="00F92B4D" w:rsidRPr="0015799B">
        <w:rPr>
          <w:sz w:val="20"/>
          <w:szCs w:val="20"/>
          <w:lang w:val="en-GB"/>
        </w:rPr>
        <w:t xml:space="preserve">ers from </w:t>
      </w:r>
      <w:r>
        <w:rPr>
          <w:sz w:val="20"/>
          <w:szCs w:val="20"/>
          <w:lang w:val="en-GB"/>
        </w:rPr>
        <w:t>bio</w:t>
      </w:r>
      <w:r w:rsidR="00F92B4D" w:rsidRPr="0015799B">
        <w:rPr>
          <w:sz w:val="20"/>
          <w:szCs w:val="20"/>
          <w:lang w:val="en-GB"/>
        </w:rPr>
        <w:t>digester</w:t>
      </w:r>
      <w:r>
        <w:rPr>
          <w:sz w:val="20"/>
          <w:szCs w:val="20"/>
          <w:lang w:val="en-GB"/>
        </w:rPr>
        <w:t xml:space="preserve"> installations</w:t>
      </w:r>
      <w:r w:rsidR="00F92B4D" w:rsidRPr="0015799B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 xml:space="preserve"> In Zambia, there are around 5000 brick and mortar “</w:t>
      </w:r>
      <w:proofErr w:type="spellStart"/>
      <w:r>
        <w:rPr>
          <w:sz w:val="20"/>
          <w:szCs w:val="20"/>
          <w:lang w:val="en-GB"/>
        </w:rPr>
        <w:t>Zamdigesters</w:t>
      </w:r>
      <w:proofErr w:type="spellEnd"/>
      <w:r>
        <w:rPr>
          <w:sz w:val="20"/>
          <w:szCs w:val="20"/>
          <w:lang w:val="en-GB"/>
        </w:rPr>
        <w:t>”</w:t>
      </w:r>
      <w:r w:rsidR="00934759">
        <w:rPr>
          <w:sz w:val="20"/>
          <w:szCs w:val="20"/>
          <w:lang w:val="en-GB"/>
        </w:rPr>
        <w:t xml:space="preserve"> in </w:t>
      </w:r>
      <w:r w:rsidR="00934759" w:rsidRPr="001D2023">
        <w:rPr>
          <w:sz w:val="20"/>
          <w:szCs w:val="20"/>
          <w:lang w:val="en-GB"/>
        </w:rPr>
        <w:t>operation</w:t>
      </w:r>
      <w:r w:rsidRPr="001D2023">
        <w:rPr>
          <w:sz w:val="20"/>
          <w:szCs w:val="20"/>
          <w:lang w:val="en-GB"/>
        </w:rPr>
        <w:t>,</w:t>
      </w:r>
      <w:r w:rsidR="00934759" w:rsidRPr="001D2023">
        <w:rPr>
          <w:sz w:val="20"/>
          <w:szCs w:val="20"/>
          <w:lang w:val="en-GB"/>
        </w:rPr>
        <w:t xml:space="preserve"> saving on fuelwood, reducing greenhouse gases and saving on money spent on chemical fertilizers. </w:t>
      </w:r>
      <w:r w:rsidR="00934759" w:rsidRPr="009C7C3D">
        <w:rPr>
          <w:sz w:val="20"/>
          <w:szCs w:val="20"/>
          <w:lang w:val="en-GB"/>
        </w:rPr>
        <w:t xml:space="preserve">The typical lifespan is 25 </w:t>
      </w:r>
      <w:proofErr w:type="gramStart"/>
      <w:r w:rsidR="00934759" w:rsidRPr="009C7C3D">
        <w:rPr>
          <w:sz w:val="20"/>
          <w:szCs w:val="20"/>
          <w:lang w:val="en-GB"/>
        </w:rPr>
        <w:t>years</w:t>
      </w:r>
      <w:proofErr w:type="gramEnd"/>
      <w:r w:rsidR="00934759" w:rsidRPr="009C7C3D">
        <w:rPr>
          <w:sz w:val="20"/>
          <w:szCs w:val="20"/>
          <w:lang w:val="en-GB"/>
        </w:rPr>
        <w:t xml:space="preserve"> and it costs around 12,000 Kwacha, which comes to a yearly cost of less than 500 Kwacha to cover energy and fertilizer costs.</w:t>
      </w:r>
      <w:r w:rsidR="00934759" w:rsidRPr="001D2023">
        <w:rPr>
          <w:sz w:val="20"/>
          <w:szCs w:val="20"/>
          <w:lang w:val="en-GB"/>
        </w:rPr>
        <w:t xml:space="preserve"> </w:t>
      </w:r>
      <w:r w:rsidR="0047550E" w:rsidRPr="001D2023">
        <w:rPr>
          <w:sz w:val="20"/>
          <w:szCs w:val="20"/>
          <w:lang w:val="en-GB"/>
        </w:rPr>
        <w:t xml:space="preserve">Depending on the size of the digester, </w:t>
      </w:r>
      <w:r w:rsidR="001D2023" w:rsidRPr="001D2023">
        <w:rPr>
          <w:sz w:val="20"/>
          <w:szCs w:val="20"/>
          <w:lang w:val="en-GB"/>
        </w:rPr>
        <w:t>treatment of the slurry and composting, a</w:t>
      </w:r>
      <w:r w:rsidR="00934759" w:rsidRPr="001D2023">
        <w:rPr>
          <w:sz w:val="20"/>
          <w:szCs w:val="20"/>
          <w:lang w:val="en-GB"/>
        </w:rPr>
        <w:t xml:space="preserve"> typical household digester produces purely organic fertilizer</w:t>
      </w:r>
      <w:r w:rsidR="00F92B4D" w:rsidRPr="001D2023">
        <w:rPr>
          <w:sz w:val="20"/>
          <w:szCs w:val="20"/>
          <w:lang w:val="en-GB"/>
        </w:rPr>
        <w:t xml:space="preserve"> </w:t>
      </w:r>
      <w:r w:rsidR="00934759" w:rsidRPr="001D2023">
        <w:rPr>
          <w:sz w:val="20"/>
          <w:szCs w:val="20"/>
          <w:lang w:val="en-GB"/>
        </w:rPr>
        <w:t xml:space="preserve">every day and </w:t>
      </w:r>
      <w:r w:rsidR="00934759" w:rsidRPr="009C7C3D">
        <w:rPr>
          <w:sz w:val="20"/>
          <w:szCs w:val="20"/>
          <w:lang w:val="en-GB"/>
        </w:rPr>
        <w:t>c</w:t>
      </w:r>
      <w:r w:rsidR="001D2023" w:rsidRPr="009C7C3D">
        <w:rPr>
          <w:sz w:val="20"/>
          <w:szCs w:val="20"/>
          <w:lang w:val="en-GB"/>
        </w:rPr>
        <w:t>ould</w:t>
      </w:r>
      <w:r w:rsidR="00934759" w:rsidRPr="009C7C3D">
        <w:rPr>
          <w:sz w:val="20"/>
          <w:szCs w:val="20"/>
          <w:lang w:val="en-GB"/>
        </w:rPr>
        <w:t xml:space="preserve"> service up to 3 hectares</w:t>
      </w:r>
      <w:r w:rsidR="00934759" w:rsidRPr="001D2023">
        <w:rPr>
          <w:sz w:val="20"/>
          <w:szCs w:val="20"/>
          <w:lang w:val="en-GB"/>
        </w:rPr>
        <w:t xml:space="preserve"> a year. Unlike chemical fertilizers, bio-fertilizer</w:t>
      </w:r>
      <w:r w:rsidR="00B875DA">
        <w:rPr>
          <w:sz w:val="20"/>
          <w:szCs w:val="20"/>
          <w:lang w:val="en-GB"/>
        </w:rPr>
        <w:t>s</w:t>
      </w:r>
      <w:r w:rsidR="00934759" w:rsidRPr="001D2023">
        <w:rPr>
          <w:sz w:val="20"/>
          <w:szCs w:val="20"/>
          <w:lang w:val="en-GB"/>
        </w:rPr>
        <w:t xml:space="preserve"> improve organic matter and soil structure.</w:t>
      </w:r>
    </w:p>
    <w:p w14:paraId="56AF7407" w14:textId="240313AD" w:rsidR="00934759" w:rsidRDefault="00934759" w:rsidP="001D5FFC">
      <w:pPr>
        <w:rPr>
          <w:sz w:val="20"/>
          <w:szCs w:val="20"/>
          <w:lang w:val="en-GB"/>
        </w:rPr>
      </w:pPr>
    </w:p>
    <w:p w14:paraId="2516933D" w14:textId="3EA8E1D1" w:rsidR="00934759" w:rsidRDefault="00934759" w:rsidP="001D5FFC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 addition, the project is promoting ready</w:t>
      </w:r>
      <w:r w:rsidR="00D62307">
        <w:rPr>
          <w:sz w:val="20"/>
          <w:szCs w:val="20"/>
          <w:lang w:val="en-GB"/>
        </w:rPr>
        <w:t>-</w:t>
      </w:r>
      <w:r>
        <w:rPr>
          <w:sz w:val="20"/>
          <w:szCs w:val="20"/>
          <w:lang w:val="en-GB"/>
        </w:rPr>
        <w:t xml:space="preserve">made digesters from the brand </w:t>
      </w:r>
      <w:proofErr w:type="spellStart"/>
      <w:r>
        <w:rPr>
          <w:sz w:val="20"/>
          <w:szCs w:val="20"/>
          <w:lang w:val="en-GB"/>
        </w:rPr>
        <w:t>HomeBiogas</w:t>
      </w:r>
      <w:proofErr w:type="spellEnd"/>
      <w:r>
        <w:rPr>
          <w:sz w:val="20"/>
          <w:szCs w:val="20"/>
          <w:lang w:val="en-GB"/>
        </w:rPr>
        <w:t xml:space="preserve">. The typical lifespan is 15 </w:t>
      </w:r>
      <w:proofErr w:type="gramStart"/>
      <w:r>
        <w:rPr>
          <w:sz w:val="20"/>
          <w:szCs w:val="20"/>
          <w:lang w:val="en-GB"/>
        </w:rPr>
        <w:t>years</w:t>
      </w:r>
      <w:proofErr w:type="gramEnd"/>
      <w:r>
        <w:rPr>
          <w:sz w:val="20"/>
          <w:szCs w:val="20"/>
          <w:lang w:val="en-GB"/>
        </w:rPr>
        <w:t xml:space="preserve"> and the costs are 800 US dollars (</w:t>
      </w:r>
      <w:r w:rsidR="00C0350F">
        <w:rPr>
          <w:sz w:val="20"/>
          <w:szCs w:val="20"/>
          <w:lang w:val="en-GB"/>
        </w:rPr>
        <w:t>less than 18,000 Kwacha).</w:t>
      </w:r>
      <w:r w:rsidR="00D62307">
        <w:rPr>
          <w:sz w:val="20"/>
          <w:szCs w:val="20"/>
          <w:lang w:val="en-GB"/>
        </w:rPr>
        <w:t xml:space="preserve"> SNV is also reviewing other models such as those produced by </w:t>
      </w:r>
      <w:proofErr w:type="spellStart"/>
      <w:r w:rsidR="00D62307">
        <w:rPr>
          <w:sz w:val="20"/>
          <w:szCs w:val="20"/>
          <w:lang w:val="en-GB"/>
        </w:rPr>
        <w:t>AfriTank</w:t>
      </w:r>
      <w:proofErr w:type="spellEnd"/>
      <w:r w:rsidR="00D62307">
        <w:rPr>
          <w:sz w:val="20"/>
          <w:szCs w:val="20"/>
          <w:lang w:val="en-GB"/>
        </w:rPr>
        <w:t>.</w:t>
      </w:r>
    </w:p>
    <w:p w14:paraId="59957659" w14:textId="55EA2566" w:rsidR="00934759" w:rsidRDefault="00934759" w:rsidP="001D5FFC">
      <w:pPr>
        <w:rPr>
          <w:sz w:val="20"/>
          <w:szCs w:val="20"/>
          <w:lang w:val="en-GB"/>
        </w:rPr>
      </w:pPr>
    </w:p>
    <w:p w14:paraId="12A99791" w14:textId="6FEBED55" w:rsidR="00934759" w:rsidRDefault="00934759" w:rsidP="001D5FFC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Up till now, the biofertilizer has not been </w:t>
      </w:r>
      <w:r w:rsidR="00D62307">
        <w:rPr>
          <w:sz w:val="20"/>
          <w:szCs w:val="20"/>
          <w:lang w:val="en-GB"/>
        </w:rPr>
        <w:t xml:space="preserve">(fully) </w:t>
      </w:r>
      <w:r w:rsidR="00E91A66">
        <w:rPr>
          <w:sz w:val="20"/>
          <w:szCs w:val="20"/>
          <w:lang w:val="en-GB"/>
        </w:rPr>
        <w:t xml:space="preserve">applied for use by the </w:t>
      </w:r>
      <w:r w:rsidR="00172166">
        <w:rPr>
          <w:sz w:val="20"/>
          <w:szCs w:val="20"/>
          <w:lang w:val="en-GB"/>
        </w:rPr>
        <w:t xml:space="preserve">biodigester </w:t>
      </w:r>
      <w:r w:rsidR="00E91A66">
        <w:rPr>
          <w:sz w:val="20"/>
          <w:szCs w:val="20"/>
          <w:lang w:val="en-GB"/>
        </w:rPr>
        <w:t xml:space="preserve">owners themselves, and not yet </w:t>
      </w:r>
      <w:r>
        <w:rPr>
          <w:sz w:val="20"/>
          <w:szCs w:val="20"/>
          <w:lang w:val="en-GB"/>
        </w:rPr>
        <w:t>considered as an income generating commodity that could be sold or traded or even be used to pay back a loan for construction of the digester.</w:t>
      </w:r>
      <w:r w:rsidR="00C0350F">
        <w:rPr>
          <w:sz w:val="20"/>
          <w:szCs w:val="20"/>
          <w:lang w:val="en-GB"/>
        </w:rPr>
        <w:t xml:space="preserve"> This assignment is meant to investigate these opportunities and advise a way forward.</w:t>
      </w:r>
    </w:p>
    <w:p w14:paraId="32C8CA64" w14:textId="77777777" w:rsidR="00EE1F94" w:rsidRDefault="00EE1F94" w:rsidP="00614F8F">
      <w:pPr>
        <w:pStyle w:val="Heading2"/>
        <w:rPr>
          <w:sz w:val="20"/>
          <w:szCs w:val="20"/>
          <w:lang w:val="en-GB"/>
        </w:rPr>
      </w:pPr>
    </w:p>
    <w:p w14:paraId="1E799DE1" w14:textId="34D6E2D5" w:rsidR="0062629E" w:rsidRDefault="0062629E" w:rsidP="00614F8F">
      <w:pPr>
        <w:pStyle w:val="Heading2"/>
        <w:rPr>
          <w:sz w:val="20"/>
          <w:szCs w:val="20"/>
          <w:lang w:val="en-GB"/>
        </w:rPr>
      </w:pPr>
      <w:r w:rsidRPr="0015799B">
        <w:rPr>
          <w:sz w:val="20"/>
          <w:szCs w:val="20"/>
          <w:lang w:val="en-GB"/>
        </w:rPr>
        <w:t>Objective</w:t>
      </w:r>
    </w:p>
    <w:p w14:paraId="5D5065A7" w14:textId="77777777" w:rsidR="003602CC" w:rsidRPr="009C7C3D" w:rsidRDefault="003602CC" w:rsidP="009C7C3D">
      <w:pPr>
        <w:rPr>
          <w:lang w:val="en-GB"/>
        </w:rPr>
      </w:pPr>
    </w:p>
    <w:p w14:paraId="061311EC" w14:textId="77777777" w:rsidR="004C4C0B" w:rsidRDefault="009C761F" w:rsidP="003602CC">
      <w:pPr>
        <w:rPr>
          <w:sz w:val="20"/>
          <w:szCs w:val="20"/>
          <w:lang w:val="en-GB"/>
        </w:rPr>
      </w:pPr>
      <w:r w:rsidRPr="0015799B">
        <w:rPr>
          <w:sz w:val="20"/>
          <w:szCs w:val="20"/>
          <w:lang w:val="en-GB"/>
        </w:rPr>
        <w:t xml:space="preserve">The objectives of this </w:t>
      </w:r>
      <w:r w:rsidR="007C122F">
        <w:rPr>
          <w:sz w:val="20"/>
          <w:szCs w:val="20"/>
          <w:lang w:val="en-GB"/>
        </w:rPr>
        <w:t xml:space="preserve">assignment </w:t>
      </w:r>
      <w:r w:rsidRPr="0015799B">
        <w:rPr>
          <w:sz w:val="20"/>
          <w:szCs w:val="20"/>
          <w:lang w:val="en-GB"/>
        </w:rPr>
        <w:t>are to</w:t>
      </w:r>
      <w:r w:rsidR="003602CC" w:rsidRPr="003602CC">
        <w:rPr>
          <w:sz w:val="20"/>
          <w:szCs w:val="20"/>
          <w:lang w:val="en-GB"/>
        </w:rPr>
        <w:t xml:space="preserve"> </w:t>
      </w:r>
      <w:r w:rsidR="003602CC">
        <w:rPr>
          <w:sz w:val="20"/>
          <w:szCs w:val="20"/>
          <w:lang w:val="en-GB"/>
        </w:rPr>
        <w:t xml:space="preserve">understand the </w:t>
      </w:r>
      <w:r w:rsidR="009545E3">
        <w:rPr>
          <w:sz w:val="20"/>
          <w:szCs w:val="20"/>
          <w:lang w:val="en-GB"/>
        </w:rPr>
        <w:t xml:space="preserve">(potential) </w:t>
      </w:r>
      <w:r w:rsidR="003602CC">
        <w:rPr>
          <w:sz w:val="20"/>
          <w:szCs w:val="20"/>
          <w:lang w:val="en-GB"/>
        </w:rPr>
        <w:t xml:space="preserve">market space for organic fertilisers </w:t>
      </w:r>
      <w:r w:rsidR="004C4C0B">
        <w:rPr>
          <w:sz w:val="20"/>
          <w:szCs w:val="20"/>
          <w:lang w:val="en-GB"/>
        </w:rPr>
        <w:t>to</w:t>
      </w:r>
      <w:r w:rsidR="003602CC">
        <w:rPr>
          <w:sz w:val="20"/>
          <w:szCs w:val="20"/>
          <w:lang w:val="en-GB"/>
        </w:rPr>
        <w:t xml:space="preserve"> </w:t>
      </w:r>
      <w:r w:rsidR="00897A49">
        <w:rPr>
          <w:sz w:val="20"/>
          <w:szCs w:val="20"/>
          <w:lang w:val="en-GB"/>
        </w:rPr>
        <w:t>evaluate</w:t>
      </w:r>
      <w:r w:rsidR="003602CC">
        <w:rPr>
          <w:sz w:val="20"/>
          <w:szCs w:val="20"/>
          <w:lang w:val="en-GB"/>
        </w:rPr>
        <w:t xml:space="preserve"> the potential and positioning of </w:t>
      </w:r>
      <w:proofErr w:type="spellStart"/>
      <w:r w:rsidR="003602CC">
        <w:rPr>
          <w:sz w:val="20"/>
          <w:szCs w:val="20"/>
          <w:lang w:val="en-GB"/>
        </w:rPr>
        <w:t>bioslurry</w:t>
      </w:r>
      <w:proofErr w:type="spellEnd"/>
      <w:r w:rsidR="003602CC">
        <w:rPr>
          <w:sz w:val="20"/>
          <w:szCs w:val="20"/>
          <w:lang w:val="en-GB"/>
        </w:rPr>
        <w:t>-based fertilisers.</w:t>
      </w:r>
      <w:r w:rsidR="003602CC" w:rsidRPr="003602CC">
        <w:rPr>
          <w:sz w:val="20"/>
          <w:szCs w:val="20"/>
          <w:lang w:val="en-GB"/>
        </w:rPr>
        <w:t xml:space="preserve"> </w:t>
      </w:r>
    </w:p>
    <w:p w14:paraId="25B32DFF" w14:textId="77777777" w:rsidR="004C4C0B" w:rsidRDefault="004C4C0B" w:rsidP="003602CC">
      <w:pPr>
        <w:rPr>
          <w:sz w:val="20"/>
          <w:szCs w:val="20"/>
          <w:lang w:val="en-GB"/>
        </w:rPr>
      </w:pPr>
    </w:p>
    <w:p w14:paraId="6652B4BE" w14:textId="24A33EF6" w:rsidR="003602CC" w:rsidRPr="0015799B" w:rsidRDefault="003602CC" w:rsidP="003602CC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This assignment distinguishes between organic fertilisers </w:t>
      </w:r>
      <w:r w:rsidR="00CF1DBF">
        <w:rPr>
          <w:sz w:val="20"/>
          <w:szCs w:val="20"/>
          <w:lang w:val="en-GB"/>
        </w:rPr>
        <w:t xml:space="preserve">as an overall category of fertilisers </w:t>
      </w:r>
      <w:r>
        <w:rPr>
          <w:sz w:val="20"/>
          <w:szCs w:val="20"/>
          <w:lang w:val="en-GB"/>
        </w:rPr>
        <w:t xml:space="preserve">and </w:t>
      </w:r>
      <w:r w:rsidR="00CF1DBF">
        <w:rPr>
          <w:sz w:val="20"/>
          <w:szCs w:val="20"/>
          <w:lang w:val="en-GB"/>
        </w:rPr>
        <w:t xml:space="preserve">its subset of various </w:t>
      </w:r>
      <w:r>
        <w:rPr>
          <w:sz w:val="20"/>
          <w:szCs w:val="20"/>
          <w:lang w:val="en-GB"/>
        </w:rPr>
        <w:t xml:space="preserve">biofertilizers. Organic fertilisers </w:t>
      </w:r>
      <w:r w:rsidR="009445E0">
        <w:rPr>
          <w:sz w:val="20"/>
          <w:szCs w:val="20"/>
          <w:lang w:val="en-GB"/>
        </w:rPr>
        <w:t xml:space="preserve">equally </w:t>
      </w:r>
      <w:r w:rsidR="00D62307">
        <w:rPr>
          <w:sz w:val="20"/>
          <w:szCs w:val="20"/>
          <w:lang w:val="en-GB"/>
        </w:rPr>
        <w:t>include untreated manure, crop residues, agroforestry waste and other assorted organic waste</w:t>
      </w:r>
      <w:r w:rsidR="009445E0">
        <w:rPr>
          <w:sz w:val="20"/>
          <w:szCs w:val="20"/>
          <w:lang w:val="en-GB"/>
        </w:rPr>
        <w:t xml:space="preserve">, while the sub-set of </w:t>
      </w:r>
      <w:proofErr w:type="spellStart"/>
      <w:r w:rsidR="009445E0">
        <w:rPr>
          <w:sz w:val="20"/>
          <w:szCs w:val="20"/>
          <w:lang w:val="en-GB"/>
        </w:rPr>
        <w:t>bioslurry</w:t>
      </w:r>
      <w:proofErr w:type="spellEnd"/>
      <w:r w:rsidR="009445E0">
        <w:rPr>
          <w:sz w:val="20"/>
          <w:szCs w:val="20"/>
          <w:lang w:val="en-GB"/>
        </w:rPr>
        <w:t xml:space="preserve"> </w:t>
      </w:r>
      <w:r w:rsidR="000B335C">
        <w:rPr>
          <w:sz w:val="20"/>
          <w:szCs w:val="20"/>
          <w:lang w:val="en-GB"/>
        </w:rPr>
        <w:t xml:space="preserve">is a product from anaerobic </w:t>
      </w:r>
      <w:r w:rsidR="00EB4237">
        <w:rPr>
          <w:sz w:val="20"/>
          <w:szCs w:val="20"/>
          <w:lang w:val="en-GB"/>
        </w:rPr>
        <w:t>(</w:t>
      </w:r>
      <w:r w:rsidR="000B335C">
        <w:rPr>
          <w:sz w:val="20"/>
          <w:szCs w:val="20"/>
          <w:lang w:val="en-GB"/>
        </w:rPr>
        <w:t>biogas</w:t>
      </w:r>
      <w:r w:rsidR="00EB4237">
        <w:rPr>
          <w:sz w:val="20"/>
          <w:szCs w:val="20"/>
          <w:lang w:val="en-GB"/>
        </w:rPr>
        <w:t>)</w:t>
      </w:r>
      <w:r w:rsidR="000B335C">
        <w:rPr>
          <w:sz w:val="20"/>
          <w:szCs w:val="20"/>
          <w:lang w:val="en-GB"/>
        </w:rPr>
        <w:t xml:space="preserve"> digesters</w:t>
      </w:r>
      <w:r w:rsidR="00EB4237">
        <w:rPr>
          <w:sz w:val="20"/>
          <w:szCs w:val="20"/>
          <w:lang w:val="en-GB"/>
        </w:rPr>
        <w:t>, sourced mainly from animal waste.</w:t>
      </w:r>
    </w:p>
    <w:p w14:paraId="54BB3309" w14:textId="4F2BE962" w:rsidR="009C761F" w:rsidRDefault="009C761F" w:rsidP="009C761F">
      <w:pPr>
        <w:rPr>
          <w:sz w:val="20"/>
          <w:szCs w:val="20"/>
          <w:lang w:val="en-GB"/>
        </w:rPr>
      </w:pPr>
    </w:p>
    <w:p w14:paraId="13C17754" w14:textId="34EC2AE3" w:rsidR="003602CC" w:rsidRDefault="003602CC" w:rsidP="009C7C3D">
      <w:pPr>
        <w:pStyle w:val="Heading2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Scope of Work</w:t>
      </w:r>
    </w:p>
    <w:p w14:paraId="63361F67" w14:textId="2E5FA390" w:rsidR="003602CC" w:rsidRDefault="003602CC" w:rsidP="009C761F">
      <w:pPr>
        <w:rPr>
          <w:sz w:val="20"/>
          <w:szCs w:val="20"/>
          <w:lang w:val="en-GB"/>
        </w:rPr>
      </w:pPr>
    </w:p>
    <w:p w14:paraId="2612896E" w14:textId="0A32EF1C" w:rsidR="003602CC" w:rsidRDefault="003602CC" w:rsidP="009C761F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assignment needs to cover the following aspects: </w:t>
      </w:r>
    </w:p>
    <w:p w14:paraId="7A837120" w14:textId="77777777" w:rsidR="005F5A83" w:rsidRPr="0015799B" w:rsidRDefault="005F5A83" w:rsidP="009C761F">
      <w:pPr>
        <w:rPr>
          <w:sz w:val="20"/>
          <w:szCs w:val="20"/>
          <w:lang w:val="en-GB"/>
        </w:rPr>
      </w:pPr>
    </w:p>
    <w:p w14:paraId="6E8C935D" w14:textId="618E726A" w:rsidR="00675B17" w:rsidRDefault="00E03135" w:rsidP="006936A0">
      <w:pPr>
        <w:pStyle w:val="ListParagraph"/>
        <w:numPr>
          <w:ilvl w:val="0"/>
          <w:numId w:val="4"/>
        </w:numPr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Understand the current market </w:t>
      </w:r>
      <w:r w:rsidR="007521B5">
        <w:rPr>
          <w:b/>
          <w:bCs/>
          <w:sz w:val="20"/>
          <w:szCs w:val="20"/>
          <w:lang w:val="en-GB"/>
        </w:rPr>
        <w:t xml:space="preserve">status and future evolution </w:t>
      </w:r>
      <w:r w:rsidR="00787476">
        <w:rPr>
          <w:b/>
          <w:bCs/>
          <w:sz w:val="20"/>
          <w:szCs w:val="20"/>
          <w:lang w:val="en-GB"/>
        </w:rPr>
        <w:t xml:space="preserve">for </w:t>
      </w:r>
      <w:r w:rsidR="00534924">
        <w:rPr>
          <w:b/>
          <w:bCs/>
          <w:sz w:val="20"/>
          <w:szCs w:val="20"/>
          <w:lang w:val="en-GB"/>
        </w:rPr>
        <w:t xml:space="preserve">organic fertiliser </w:t>
      </w:r>
      <w:r w:rsidR="008271D9">
        <w:rPr>
          <w:b/>
          <w:bCs/>
          <w:sz w:val="20"/>
          <w:szCs w:val="20"/>
          <w:lang w:val="en-GB"/>
        </w:rPr>
        <w:t xml:space="preserve">supply </w:t>
      </w:r>
      <w:r w:rsidR="00534924">
        <w:rPr>
          <w:b/>
          <w:bCs/>
          <w:sz w:val="20"/>
          <w:szCs w:val="20"/>
          <w:lang w:val="en-GB"/>
        </w:rPr>
        <w:t>in Zambia</w:t>
      </w:r>
      <w:r w:rsidR="004855B1">
        <w:rPr>
          <w:sz w:val="20"/>
          <w:szCs w:val="20"/>
          <w:lang w:val="en-GB"/>
        </w:rPr>
        <w:t xml:space="preserve"> </w:t>
      </w:r>
    </w:p>
    <w:p w14:paraId="3A8DE6B7" w14:textId="77777777" w:rsidR="00675B17" w:rsidRDefault="00675B17" w:rsidP="00675B17">
      <w:pPr>
        <w:ind w:left="360"/>
        <w:rPr>
          <w:sz w:val="20"/>
          <w:szCs w:val="20"/>
          <w:lang w:val="en-GB"/>
        </w:rPr>
      </w:pPr>
    </w:p>
    <w:p w14:paraId="13B21293" w14:textId="2AB6D4DD" w:rsidR="00623648" w:rsidRDefault="00B13A2A" w:rsidP="00DD0B2D">
      <w:pPr>
        <w:ind w:left="708" w:hanging="348"/>
        <w:rPr>
          <w:sz w:val="20"/>
          <w:szCs w:val="20"/>
          <w:lang w:val="en-GB"/>
        </w:rPr>
      </w:pPr>
      <w:r w:rsidRPr="009C7C3D">
        <w:rPr>
          <w:sz w:val="20"/>
          <w:szCs w:val="20"/>
          <w:lang w:val="en-GB"/>
        </w:rPr>
        <w:t xml:space="preserve">. </w:t>
      </w:r>
      <w:r w:rsidR="00DD0B2D">
        <w:rPr>
          <w:sz w:val="20"/>
          <w:szCs w:val="20"/>
          <w:lang w:val="en-GB"/>
        </w:rPr>
        <w:tab/>
      </w:r>
      <w:r w:rsidR="00964B31">
        <w:rPr>
          <w:sz w:val="20"/>
          <w:szCs w:val="20"/>
          <w:lang w:val="en-GB"/>
        </w:rPr>
        <w:t>The assessment</w:t>
      </w:r>
      <w:r w:rsidR="004161FA">
        <w:rPr>
          <w:sz w:val="20"/>
          <w:szCs w:val="20"/>
          <w:lang w:val="en-GB"/>
        </w:rPr>
        <w:t xml:space="preserve"> needs to provide a general background to the </w:t>
      </w:r>
      <w:r w:rsidR="00623648">
        <w:rPr>
          <w:sz w:val="20"/>
          <w:szCs w:val="20"/>
          <w:lang w:val="en-GB"/>
        </w:rPr>
        <w:t xml:space="preserve">overall fertiliser market in Zambia, including organic and </w:t>
      </w:r>
      <w:r w:rsidR="00A219F3">
        <w:rPr>
          <w:sz w:val="20"/>
          <w:szCs w:val="20"/>
          <w:lang w:val="en-GB"/>
        </w:rPr>
        <w:t>-</w:t>
      </w:r>
      <w:r w:rsidR="0099170F">
        <w:rPr>
          <w:sz w:val="20"/>
          <w:szCs w:val="20"/>
          <w:lang w:val="en-GB"/>
        </w:rPr>
        <w:t xml:space="preserve">by way of comparison- the </w:t>
      </w:r>
      <w:r w:rsidR="00623648">
        <w:rPr>
          <w:sz w:val="20"/>
          <w:szCs w:val="20"/>
          <w:lang w:val="en-GB"/>
        </w:rPr>
        <w:t>non-organic</w:t>
      </w:r>
      <w:r w:rsidR="00E33DA8">
        <w:rPr>
          <w:sz w:val="20"/>
          <w:szCs w:val="20"/>
          <w:lang w:val="en-GB"/>
        </w:rPr>
        <w:t>/mineral</w:t>
      </w:r>
      <w:r w:rsidR="00623648">
        <w:rPr>
          <w:sz w:val="20"/>
          <w:szCs w:val="20"/>
          <w:lang w:val="en-GB"/>
        </w:rPr>
        <w:t xml:space="preserve"> </w:t>
      </w:r>
      <w:r w:rsidR="005804F1">
        <w:rPr>
          <w:sz w:val="20"/>
          <w:szCs w:val="20"/>
          <w:lang w:val="en-GB"/>
        </w:rPr>
        <w:t xml:space="preserve">fertilisers. </w:t>
      </w:r>
    </w:p>
    <w:p w14:paraId="78F86F20" w14:textId="77777777" w:rsidR="00623648" w:rsidRDefault="00623648" w:rsidP="00865E81">
      <w:pPr>
        <w:pStyle w:val="ListParagraph"/>
        <w:rPr>
          <w:sz w:val="20"/>
          <w:szCs w:val="20"/>
          <w:lang w:val="en-GB"/>
        </w:rPr>
      </w:pPr>
    </w:p>
    <w:p w14:paraId="61CEB7B9" w14:textId="36B6A17B" w:rsidR="003602CC" w:rsidRDefault="00623648" w:rsidP="00865E81">
      <w:pPr>
        <w:pStyle w:val="ListParagrap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assessment </w:t>
      </w:r>
      <w:r w:rsidR="004B1684">
        <w:rPr>
          <w:sz w:val="20"/>
          <w:szCs w:val="20"/>
          <w:lang w:val="en-GB"/>
        </w:rPr>
        <w:t xml:space="preserve">needs to provide a deep dive </w:t>
      </w:r>
      <w:r>
        <w:rPr>
          <w:sz w:val="20"/>
          <w:szCs w:val="20"/>
          <w:lang w:val="en-GB"/>
        </w:rPr>
        <w:t xml:space="preserve">for organic fertilisers </w:t>
      </w:r>
      <w:r w:rsidR="004B1684">
        <w:rPr>
          <w:sz w:val="20"/>
          <w:szCs w:val="20"/>
          <w:lang w:val="en-GB"/>
        </w:rPr>
        <w:t xml:space="preserve">and </w:t>
      </w:r>
      <w:r w:rsidR="00964B31">
        <w:rPr>
          <w:sz w:val="20"/>
          <w:szCs w:val="20"/>
          <w:lang w:val="en-GB"/>
        </w:rPr>
        <w:t xml:space="preserve">should be based on </w:t>
      </w:r>
      <w:r w:rsidR="00E03135">
        <w:rPr>
          <w:sz w:val="20"/>
          <w:szCs w:val="20"/>
          <w:lang w:val="en-GB"/>
        </w:rPr>
        <w:t xml:space="preserve">quantitative and qualitative </w:t>
      </w:r>
      <w:r w:rsidR="00964B31">
        <w:rPr>
          <w:sz w:val="20"/>
          <w:szCs w:val="20"/>
          <w:lang w:val="en-GB"/>
        </w:rPr>
        <w:t>analysis</w:t>
      </w:r>
      <w:r w:rsidR="00E03135">
        <w:rPr>
          <w:sz w:val="20"/>
          <w:szCs w:val="20"/>
          <w:lang w:val="en-GB"/>
        </w:rPr>
        <w:t xml:space="preserve">, </w:t>
      </w:r>
      <w:r w:rsidR="0057091D">
        <w:rPr>
          <w:sz w:val="20"/>
          <w:szCs w:val="20"/>
          <w:lang w:val="en-GB"/>
        </w:rPr>
        <w:t>considering</w:t>
      </w:r>
      <w:r w:rsidR="00E03135">
        <w:rPr>
          <w:sz w:val="20"/>
          <w:szCs w:val="20"/>
          <w:lang w:val="en-GB"/>
        </w:rPr>
        <w:t xml:space="preserve"> </w:t>
      </w:r>
      <w:r w:rsidR="00964B31">
        <w:rPr>
          <w:sz w:val="20"/>
          <w:szCs w:val="20"/>
          <w:lang w:val="en-GB"/>
        </w:rPr>
        <w:t>primary and secondary sources</w:t>
      </w:r>
      <w:r w:rsidR="00636365">
        <w:rPr>
          <w:sz w:val="20"/>
          <w:szCs w:val="20"/>
          <w:lang w:val="en-GB"/>
        </w:rPr>
        <w:t xml:space="preserve"> such as company data </w:t>
      </w:r>
      <w:r w:rsidR="00787476">
        <w:rPr>
          <w:sz w:val="20"/>
          <w:szCs w:val="20"/>
          <w:lang w:val="en-GB"/>
        </w:rPr>
        <w:t xml:space="preserve">and information, </w:t>
      </w:r>
      <w:r w:rsidR="00E03135">
        <w:rPr>
          <w:sz w:val="20"/>
          <w:szCs w:val="20"/>
          <w:lang w:val="en-GB"/>
        </w:rPr>
        <w:t>secondar</w:t>
      </w:r>
      <w:r w:rsidR="00B17298">
        <w:rPr>
          <w:sz w:val="20"/>
          <w:szCs w:val="20"/>
          <w:lang w:val="en-GB"/>
        </w:rPr>
        <w:t>y</w:t>
      </w:r>
      <w:r w:rsidR="00E03135">
        <w:rPr>
          <w:sz w:val="20"/>
          <w:szCs w:val="20"/>
          <w:lang w:val="en-GB"/>
        </w:rPr>
        <w:t xml:space="preserve"> </w:t>
      </w:r>
      <w:proofErr w:type="gramStart"/>
      <w:r w:rsidR="00636365">
        <w:rPr>
          <w:sz w:val="20"/>
          <w:szCs w:val="20"/>
          <w:lang w:val="en-GB"/>
        </w:rPr>
        <w:t>literature</w:t>
      </w:r>
      <w:proofErr w:type="gramEnd"/>
      <w:r w:rsidR="00636365">
        <w:rPr>
          <w:sz w:val="20"/>
          <w:szCs w:val="20"/>
          <w:lang w:val="en-GB"/>
        </w:rPr>
        <w:t xml:space="preserve"> </w:t>
      </w:r>
      <w:r w:rsidR="00964B31">
        <w:rPr>
          <w:sz w:val="20"/>
          <w:szCs w:val="20"/>
          <w:lang w:val="en-GB"/>
        </w:rPr>
        <w:t xml:space="preserve">and stakeholder consultations. </w:t>
      </w:r>
    </w:p>
    <w:p w14:paraId="70966D90" w14:textId="77777777" w:rsidR="003602CC" w:rsidRDefault="003602CC" w:rsidP="00865E81">
      <w:pPr>
        <w:pStyle w:val="ListParagraph"/>
        <w:rPr>
          <w:sz w:val="20"/>
          <w:szCs w:val="20"/>
          <w:lang w:val="en-GB"/>
        </w:rPr>
      </w:pPr>
    </w:p>
    <w:p w14:paraId="1EB205EA" w14:textId="1C100DD2" w:rsidR="003602CC" w:rsidRPr="009C7C3D" w:rsidRDefault="00C43DBD">
      <w:pPr>
        <w:pStyle w:val="ListParagraph"/>
        <w:rPr>
          <w:sz w:val="20"/>
          <w:szCs w:val="20"/>
          <w:lang w:val="en-GB"/>
        </w:rPr>
      </w:pPr>
      <w:r w:rsidRPr="00690A59">
        <w:rPr>
          <w:sz w:val="20"/>
          <w:szCs w:val="20"/>
          <w:lang w:val="en-GB"/>
        </w:rPr>
        <w:t xml:space="preserve">The assessment should include an evaluation of </w:t>
      </w:r>
      <w:r w:rsidR="00E03135">
        <w:rPr>
          <w:sz w:val="20"/>
          <w:szCs w:val="20"/>
          <w:lang w:val="en-GB"/>
        </w:rPr>
        <w:t xml:space="preserve">historical </w:t>
      </w:r>
      <w:r w:rsidRPr="00690A59">
        <w:rPr>
          <w:sz w:val="20"/>
          <w:szCs w:val="20"/>
          <w:lang w:val="en-GB"/>
        </w:rPr>
        <w:t xml:space="preserve">market and company growth rates and </w:t>
      </w:r>
      <w:r w:rsidR="00636365">
        <w:rPr>
          <w:sz w:val="20"/>
          <w:szCs w:val="20"/>
          <w:lang w:val="en-GB"/>
        </w:rPr>
        <w:t xml:space="preserve">market </w:t>
      </w:r>
      <w:r w:rsidRPr="00690A59">
        <w:rPr>
          <w:sz w:val="20"/>
          <w:szCs w:val="20"/>
          <w:lang w:val="en-GB"/>
        </w:rPr>
        <w:t>growth forecasts</w:t>
      </w:r>
      <w:r w:rsidR="00636365">
        <w:rPr>
          <w:sz w:val="20"/>
          <w:szCs w:val="20"/>
          <w:lang w:val="en-GB"/>
        </w:rPr>
        <w:t xml:space="preserve">. </w:t>
      </w:r>
      <w:r w:rsidR="00636365" w:rsidRPr="009C7C3D">
        <w:rPr>
          <w:sz w:val="20"/>
          <w:szCs w:val="20"/>
          <w:lang w:val="en-GB"/>
        </w:rPr>
        <w:t xml:space="preserve">In </w:t>
      </w:r>
      <w:r w:rsidR="003602CC">
        <w:rPr>
          <w:sz w:val="20"/>
          <w:szCs w:val="20"/>
          <w:lang w:val="en-GB"/>
        </w:rPr>
        <w:t>this context</w:t>
      </w:r>
      <w:r w:rsidR="00636365" w:rsidRPr="009C7C3D">
        <w:rPr>
          <w:sz w:val="20"/>
          <w:szCs w:val="20"/>
          <w:lang w:val="en-GB"/>
        </w:rPr>
        <w:t xml:space="preserve">, the assessment needs to </w:t>
      </w:r>
      <w:r w:rsidRPr="009C7C3D">
        <w:rPr>
          <w:sz w:val="20"/>
          <w:szCs w:val="20"/>
          <w:lang w:val="en-GB"/>
        </w:rPr>
        <w:t xml:space="preserve">showcase the level of market confidence </w:t>
      </w:r>
      <w:r w:rsidR="003602CC">
        <w:rPr>
          <w:sz w:val="20"/>
          <w:szCs w:val="20"/>
          <w:lang w:val="en-GB"/>
        </w:rPr>
        <w:t xml:space="preserve">expressed </w:t>
      </w:r>
      <w:r w:rsidRPr="009C7C3D">
        <w:rPr>
          <w:sz w:val="20"/>
          <w:szCs w:val="20"/>
          <w:lang w:val="en-GB"/>
        </w:rPr>
        <w:t xml:space="preserve">by individual companies </w:t>
      </w:r>
      <w:r w:rsidR="00636365" w:rsidRPr="009C7C3D">
        <w:rPr>
          <w:sz w:val="20"/>
          <w:szCs w:val="20"/>
          <w:lang w:val="en-GB"/>
        </w:rPr>
        <w:t xml:space="preserve">and key stakeholders </w:t>
      </w:r>
      <w:r w:rsidRPr="009C7C3D">
        <w:rPr>
          <w:sz w:val="20"/>
          <w:szCs w:val="20"/>
          <w:lang w:val="en-GB"/>
        </w:rPr>
        <w:t>in the organic fertiliser market.</w:t>
      </w:r>
      <w:r w:rsidR="00787476" w:rsidRPr="009C7C3D">
        <w:rPr>
          <w:sz w:val="20"/>
          <w:szCs w:val="20"/>
          <w:lang w:val="en-GB"/>
        </w:rPr>
        <w:t xml:space="preserve"> </w:t>
      </w:r>
    </w:p>
    <w:p w14:paraId="5980943F" w14:textId="77777777" w:rsidR="003602CC" w:rsidRDefault="003602CC" w:rsidP="00865E81">
      <w:pPr>
        <w:pStyle w:val="ListParagraph"/>
        <w:rPr>
          <w:sz w:val="20"/>
          <w:szCs w:val="20"/>
          <w:lang w:val="en-GB"/>
        </w:rPr>
      </w:pPr>
    </w:p>
    <w:p w14:paraId="362A09F3" w14:textId="2E99B34E" w:rsidR="00435531" w:rsidRDefault="00787476" w:rsidP="00865E81">
      <w:pPr>
        <w:pStyle w:val="ListParagrap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Lastly</w:t>
      </w:r>
      <w:r w:rsidR="00E03135">
        <w:rPr>
          <w:sz w:val="20"/>
          <w:szCs w:val="20"/>
          <w:lang w:val="en-GB"/>
        </w:rPr>
        <w:t xml:space="preserve">, </w:t>
      </w:r>
      <w:r w:rsidR="006073FF">
        <w:rPr>
          <w:sz w:val="20"/>
          <w:szCs w:val="20"/>
          <w:lang w:val="en-GB"/>
        </w:rPr>
        <w:t xml:space="preserve">an overview of existing </w:t>
      </w:r>
      <w:r w:rsidR="003602CC">
        <w:rPr>
          <w:sz w:val="20"/>
          <w:szCs w:val="20"/>
          <w:lang w:val="en-GB"/>
        </w:rPr>
        <w:t xml:space="preserve">organic fertiliser </w:t>
      </w:r>
      <w:r w:rsidR="006073FF">
        <w:rPr>
          <w:sz w:val="20"/>
          <w:szCs w:val="20"/>
          <w:lang w:val="en-GB"/>
        </w:rPr>
        <w:t xml:space="preserve">products is required including data on product composition, quantities, certification, pricing, distribution channels and market penetration. </w:t>
      </w:r>
    </w:p>
    <w:p w14:paraId="0EC9E2B5" w14:textId="2BEDADDB" w:rsidR="00435531" w:rsidRDefault="00435531" w:rsidP="00865E81">
      <w:pPr>
        <w:pStyle w:val="ListParagraph"/>
        <w:rPr>
          <w:sz w:val="20"/>
          <w:szCs w:val="20"/>
          <w:lang w:val="en-GB"/>
        </w:rPr>
      </w:pPr>
    </w:p>
    <w:p w14:paraId="58337410" w14:textId="26AE1FA1" w:rsidR="004568D9" w:rsidRDefault="004568D9" w:rsidP="00865E81">
      <w:pPr>
        <w:pStyle w:val="ListParagrap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</w:t>
      </w:r>
      <w:r w:rsidR="007C21BF">
        <w:rPr>
          <w:sz w:val="20"/>
          <w:szCs w:val="20"/>
          <w:lang w:val="en-GB"/>
        </w:rPr>
        <w:t xml:space="preserve">final </w:t>
      </w:r>
      <w:r>
        <w:rPr>
          <w:sz w:val="20"/>
          <w:szCs w:val="20"/>
          <w:lang w:val="en-GB"/>
        </w:rPr>
        <w:t xml:space="preserve">analysis and recommendations </w:t>
      </w:r>
      <w:r w:rsidR="00B55164">
        <w:rPr>
          <w:sz w:val="20"/>
          <w:szCs w:val="20"/>
          <w:lang w:val="en-GB"/>
        </w:rPr>
        <w:t xml:space="preserve">are to assess to what extent a new product such as </w:t>
      </w:r>
      <w:r w:rsidR="00640D4C">
        <w:rPr>
          <w:sz w:val="20"/>
          <w:szCs w:val="20"/>
          <w:lang w:val="en-GB"/>
        </w:rPr>
        <w:t>packaged bio-slurry and packaged bio-slurry compost</w:t>
      </w:r>
      <w:r w:rsidR="007C21BF">
        <w:rPr>
          <w:sz w:val="20"/>
          <w:szCs w:val="20"/>
          <w:lang w:val="en-GB"/>
        </w:rPr>
        <w:t xml:space="preserve"> can be a competitive and attractive substitute product.</w:t>
      </w:r>
    </w:p>
    <w:p w14:paraId="685F9981" w14:textId="77777777" w:rsidR="007C21BF" w:rsidRDefault="007C21BF" w:rsidP="00865E81">
      <w:pPr>
        <w:pStyle w:val="ListParagraph"/>
        <w:rPr>
          <w:sz w:val="20"/>
          <w:szCs w:val="20"/>
          <w:lang w:val="en-GB"/>
        </w:rPr>
      </w:pPr>
    </w:p>
    <w:p w14:paraId="7365B60D" w14:textId="7DE639B5" w:rsidR="00C43DBD" w:rsidRDefault="00435531" w:rsidP="00865E81">
      <w:pPr>
        <w:pStyle w:val="ListParagrap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 non-exhaustive list of stakeholders includes:</w:t>
      </w:r>
      <w:r w:rsidR="00787476">
        <w:rPr>
          <w:sz w:val="20"/>
          <w:szCs w:val="20"/>
          <w:lang w:val="en-GB"/>
        </w:rPr>
        <w:t xml:space="preserve"> </w:t>
      </w:r>
    </w:p>
    <w:p w14:paraId="2425E173" w14:textId="77777777" w:rsidR="00C43DBD" w:rsidRDefault="00C43DBD" w:rsidP="00865E81">
      <w:pPr>
        <w:pStyle w:val="ListParagraph"/>
        <w:rPr>
          <w:sz w:val="20"/>
          <w:szCs w:val="20"/>
          <w:lang w:val="en-GB"/>
        </w:rPr>
      </w:pPr>
    </w:p>
    <w:p w14:paraId="4A4AA76A" w14:textId="251A3F96" w:rsidR="00865E81" w:rsidRPr="009C7C3D" w:rsidRDefault="00B13A2A" w:rsidP="009C7C3D">
      <w:pPr>
        <w:pStyle w:val="ListParagraph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Key producers and suppliers </w:t>
      </w:r>
      <w:r w:rsidR="00C551D3">
        <w:rPr>
          <w:sz w:val="20"/>
          <w:szCs w:val="20"/>
          <w:lang w:val="en-GB"/>
        </w:rPr>
        <w:t xml:space="preserve">of organic fertilisers </w:t>
      </w:r>
      <w:r w:rsidR="00435531" w:rsidRPr="009C7C3D">
        <w:rPr>
          <w:sz w:val="20"/>
          <w:szCs w:val="20"/>
          <w:lang w:val="en-GB"/>
        </w:rPr>
        <w:t xml:space="preserve">such as </w:t>
      </w:r>
      <w:r w:rsidR="00461095" w:rsidRPr="009C7C3D">
        <w:rPr>
          <w:sz w:val="20"/>
          <w:szCs w:val="20"/>
          <w:lang w:val="en-GB"/>
        </w:rPr>
        <w:t>ERG</w:t>
      </w:r>
      <w:r w:rsidR="00BA5FCD" w:rsidRPr="009C7C3D">
        <w:rPr>
          <w:sz w:val="20"/>
          <w:szCs w:val="20"/>
          <w:lang w:val="en-GB"/>
        </w:rPr>
        <w:t xml:space="preserve">, Africa Organic Fertilizers Ltd, </w:t>
      </w:r>
      <w:r w:rsidR="00AD4D56" w:rsidRPr="009C7C3D">
        <w:rPr>
          <w:sz w:val="20"/>
          <w:szCs w:val="20"/>
          <w:lang w:val="en-GB"/>
        </w:rPr>
        <w:t xml:space="preserve">Zambia Fertilizers Ltd, </w:t>
      </w:r>
      <w:proofErr w:type="spellStart"/>
      <w:r w:rsidR="00AD4D56" w:rsidRPr="009C7C3D">
        <w:rPr>
          <w:sz w:val="20"/>
          <w:szCs w:val="20"/>
          <w:lang w:val="en-GB"/>
        </w:rPr>
        <w:t>Amiran</w:t>
      </w:r>
      <w:proofErr w:type="spellEnd"/>
      <w:r w:rsidR="00AD4D56" w:rsidRPr="009C7C3D">
        <w:rPr>
          <w:sz w:val="20"/>
          <w:szCs w:val="20"/>
          <w:lang w:val="en-GB"/>
        </w:rPr>
        <w:t xml:space="preserve"> Zambia Ltd</w:t>
      </w:r>
      <w:r w:rsidR="00E8637D" w:rsidRPr="009C7C3D">
        <w:rPr>
          <w:sz w:val="20"/>
          <w:szCs w:val="20"/>
          <w:lang w:val="en-GB"/>
        </w:rPr>
        <w:t xml:space="preserve">, </w:t>
      </w:r>
      <w:proofErr w:type="spellStart"/>
      <w:r w:rsidR="00C57D59" w:rsidRPr="009C7C3D">
        <w:rPr>
          <w:sz w:val="20"/>
          <w:szCs w:val="20"/>
          <w:lang w:val="en-GB"/>
        </w:rPr>
        <w:t>Dynalab</w:t>
      </w:r>
      <w:proofErr w:type="spellEnd"/>
      <w:r w:rsidR="00C57D59" w:rsidRPr="009C7C3D">
        <w:rPr>
          <w:sz w:val="20"/>
          <w:szCs w:val="20"/>
          <w:lang w:val="en-GB"/>
        </w:rPr>
        <w:t xml:space="preserve"> Zambia, </w:t>
      </w:r>
      <w:r w:rsidR="006C4A11" w:rsidRPr="009C7C3D">
        <w:rPr>
          <w:sz w:val="20"/>
          <w:szCs w:val="20"/>
          <w:lang w:val="en-GB"/>
        </w:rPr>
        <w:t>Omnia Fertilizer Zambia</w:t>
      </w:r>
      <w:r w:rsidR="00B938CD" w:rsidRPr="009C7C3D">
        <w:rPr>
          <w:sz w:val="20"/>
          <w:szCs w:val="20"/>
          <w:lang w:val="en-GB"/>
        </w:rPr>
        <w:t xml:space="preserve">. </w:t>
      </w:r>
    </w:p>
    <w:p w14:paraId="5EB5E8EA" w14:textId="612E1017" w:rsidR="004F0334" w:rsidRPr="00982905" w:rsidRDefault="004F0334" w:rsidP="009C7C3D">
      <w:pPr>
        <w:pStyle w:val="ListParagraph"/>
        <w:numPr>
          <w:ilvl w:val="0"/>
          <w:numId w:val="5"/>
        </w:numPr>
        <w:rPr>
          <w:sz w:val="20"/>
          <w:szCs w:val="20"/>
          <w:lang w:val="en-GB"/>
        </w:rPr>
      </w:pPr>
      <w:r w:rsidRPr="00982905">
        <w:rPr>
          <w:sz w:val="20"/>
          <w:szCs w:val="20"/>
          <w:lang w:val="en-GB"/>
        </w:rPr>
        <w:t xml:space="preserve">Project partner </w:t>
      </w:r>
      <w:r w:rsidR="00435531">
        <w:rPr>
          <w:sz w:val="20"/>
          <w:szCs w:val="20"/>
          <w:lang w:val="en-GB"/>
        </w:rPr>
        <w:t xml:space="preserve">such as </w:t>
      </w:r>
      <w:r w:rsidRPr="00982905">
        <w:rPr>
          <w:sz w:val="20"/>
          <w:szCs w:val="20"/>
          <w:lang w:val="en-GB"/>
        </w:rPr>
        <w:t>Alliance Ginneries</w:t>
      </w:r>
      <w:r w:rsidR="00982905" w:rsidRPr="00982905">
        <w:rPr>
          <w:sz w:val="20"/>
          <w:szCs w:val="20"/>
          <w:lang w:val="en-GB"/>
        </w:rPr>
        <w:t>, w</w:t>
      </w:r>
      <w:r w:rsidR="00982905">
        <w:rPr>
          <w:sz w:val="20"/>
          <w:szCs w:val="20"/>
          <w:lang w:val="en-GB"/>
        </w:rPr>
        <w:t>ho ha</w:t>
      </w:r>
      <w:r w:rsidR="005C0A88">
        <w:rPr>
          <w:sz w:val="20"/>
          <w:szCs w:val="20"/>
          <w:lang w:val="en-GB"/>
        </w:rPr>
        <w:t>s</w:t>
      </w:r>
      <w:r w:rsidR="00982905">
        <w:rPr>
          <w:sz w:val="20"/>
          <w:szCs w:val="20"/>
          <w:lang w:val="en-GB"/>
        </w:rPr>
        <w:t xml:space="preserve"> embarked on organic cotton production needs to be interviewed</w:t>
      </w:r>
      <w:r w:rsidR="00BF1274">
        <w:rPr>
          <w:sz w:val="20"/>
          <w:szCs w:val="20"/>
          <w:lang w:val="en-GB"/>
        </w:rPr>
        <w:t xml:space="preserve">, as well as any other relevant </w:t>
      </w:r>
      <w:r w:rsidR="00BF1274">
        <w:rPr>
          <w:sz w:val="20"/>
          <w:szCs w:val="20"/>
          <w:lang w:val="en-GB"/>
        </w:rPr>
        <w:lastRenderedPageBreak/>
        <w:t>project partners</w:t>
      </w:r>
      <w:r w:rsidR="00982905">
        <w:rPr>
          <w:sz w:val="20"/>
          <w:szCs w:val="20"/>
          <w:lang w:val="en-GB"/>
        </w:rPr>
        <w:t>. ZARI, a</w:t>
      </w:r>
      <w:r w:rsidR="00BD0A66">
        <w:rPr>
          <w:sz w:val="20"/>
          <w:szCs w:val="20"/>
          <w:lang w:val="en-GB"/>
        </w:rPr>
        <w:t xml:space="preserve"> leading </w:t>
      </w:r>
      <w:r w:rsidR="00982905">
        <w:rPr>
          <w:sz w:val="20"/>
          <w:szCs w:val="20"/>
          <w:lang w:val="en-GB"/>
        </w:rPr>
        <w:t>project partner</w:t>
      </w:r>
      <w:r w:rsidR="00BD0A66">
        <w:rPr>
          <w:sz w:val="20"/>
          <w:szCs w:val="20"/>
          <w:lang w:val="en-GB"/>
        </w:rPr>
        <w:t>,</w:t>
      </w:r>
      <w:r w:rsidR="00982905">
        <w:rPr>
          <w:sz w:val="20"/>
          <w:szCs w:val="20"/>
          <w:lang w:val="en-GB"/>
        </w:rPr>
        <w:t xml:space="preserve"> is </w:t>
      </w:r>
      <w:r w:rsidR="00BC7224">
        <w:rPr>
          <w:sz w:val="20"/>
          <w:szCs w:val="20"/>
          <w:lang w:val="en-GB"/>
        </w:rPr>
        <w:t xml:space="preserve">responsible for </w:t>
      </w:r>
      <w:r w:rsidR="00982905">
        <w:rPr>
          <w:sz w:val="20"/>
          <w:szCs w:val="20"/>
          <w:lang w:val="en-GB"/>
        </w:rPr>
        <w:t xml:space="preserve">conducting trials on </w:t>
      </w:r>
      <w:r w:rsidR="00BC7224">
        <w:rPr>
          <w:sz w:val="20"/>
          <w:szCs w:val="20"/>
          <w:lang w:val="en-GB"/>
        </w:rPr>
        <w:t xml:space="preserve">organic fertilizers, </w:t>
      </w:r>
      <w:r w:rsidR="00A91AE6">
        <w:rPr>
          <w:sz w:val="20"/>
          <w:szCs w:val="20"/>
          <w:lang w:val="en-GB"/>
        </w:rPr>
        <w:t xml:space="preserve">and </w:t>
      </w:r>
      <w:r w:rsidR="00BC7224">
        <w:rPr>
          <w:sz w:val="20"/>
          <w:szCs w:val="20"/>
          <w:lang w:val="en-GB"/>
        </w:rPr>
        <w:t xml:space="preserve">should </w:t>
      </w:r>
      <w:r w:rsidR="00A91AE6">
        <w:rPr>
          <w:sz w:val="20"/>
          <w:szCs w:val="20"/>
          <w:lang w:val="en-GB"/>
        </w:rPr>
        <w:t xml:space="preserve">therefore </w:t>
      </w:r>
      <w:r w:rsidR="00BC7224">
        <w:rPr>
          <w:sz w:val="20"/>
          <w:szCs w:val="20"/>
          <w:lang w:val="en-GB"/>
        </w:rPr>
        <w:t>also be interviewed</w:t>
      </w:r>
      <w:r w:rsidR="00BD0A66">
        <w:rPr>
          <w:sz w:val="20"/>
          <w:szCs w:val="20"/>
          <w:lang w:val="en-GB"/>
        </w:rPr>
        <w:t>.</w:t>
      </w:r>
    </w:p>
    <w:p w14:paraId="42777D39" w14:textId="77777777" w:rsidR="00865E81" w:rsidRPr="00982905" w:rsidRDefault="00865E81" w:rsidP="00865E81">
      <w:pPr>
        <w:pStyle w:val="ListParagraph"/>
        <w:rPr>
          <w:sz w:val="20"/>
          <w:szCs w:val="20"/>
          <w:lang w:val="en-GB"/>
        </w:rPr>
      </w:pPr>
    </w:p>
    <w:p w14:paraId="7C8D8EF9" w14:textId="77777777" w:rsidR="00435531" w:rsidRDefault="00435531" w:rsidP="00435531">
      <w:pPr>
        <w:pStyle w:val="ListParagrap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consultant is expected to make further suggestions on any additional stakeholders that should be included in this market assessment. </w:t>
      </w:r>
    </w:p>
    <w:p w14:paraId="301FF78F" w14:textId="77777777" w:rsidR="00435531" w:rsidRDefault="00435531" w:rsidP="00865E81">
      <w:pPr>
        <w:pStyle w:val="ListParagraph"/>
        <w:rPr>
          <w:sz w:val="20"/>
          <w:szCs w:val="20"/>
          <w:lang w:val="en-GB"/>
        </w:rPr>
      </w:pPr>
    </w:p>
    <w:p w14:paraId="4E14895E" w14:textId="53A8806E" w:rsidR="003F2687" w:rsidRPr="009C7C3D" w:rsidRDefault="00CB0DC3" w:rsidP="003F2687">
      <w:pPr>
        <w:pStyle w:val="ListParagraph"/>
        <w:numPr>
          <w:ilvl w:val="0"/>
          <w:numId w:val="4"/>
        </w:numPr>
        <w:rPr>
          <w:b/>
          <w:bCs/>
          <w:sz w:val="20"/>
          <w:szCs w:val="20"/>
          <w:lang w:val="en-GB"/>
        </w:rPr>
      </w:pPr>
      <w:r w:rsidRPr="009C7C3D">
        <w:rPr>
          <w:b/>
          <w:bCs/>
          <w:sz w:val="20"/>
          <w:szCs w:val="20"/>
          <w:lang w:val="en-GB"/>
        </w:rPr>
        <w:t>Review</w:t>
      </w:r>
      <w:r w:rsidR="00052B52" w:rsidRPr="009C7C3D">
        <w:rPr>
          <w:b/>
          <w:bCs/>
          <w:sz w:val="20"/>
          <w:szCs w:val="20"/>
          <w:lang w:val="en-GB"/>
        </w:rPr>
        <w:t xml:space="preserve"> </w:t>
      </w:r>
      <w:r w:rsidR="003F2687" w:rsidRPr="009C7C3D">
        <w:rPr>
          <w:b/>
          <w:bCs/>
          <w:sz w:val="20"/>
          <w:szCs w:val="20"/>
          <w:lang w:val="en-GB"/>
        </w:rPr>
        <w:t xml:space="preserve">the enabling environment </w:t>
      </w:r>
      <w:r w:rsidR="008271D9">
        <w:rPr>
          <w:b/>
          <w:bCs/>
          <w:sz w:val="20"/>
          <w:szCs w:val="20"/>
          <w:lang w:val="en-GB"/>
        </w:rPr>
        <w:t xml:space="preserve">and end user market </w:t>
      </w:r>
      <w:r w:rsidR="003F2687" w:rsidRPr="009C7C3D">
        <w:rPr>
          <w:b/>
          <w:bCs/>
          <w:sz w:val="20"/>
          <w:szCs w:val="20"/>
          <w:lang w:val="en-GB"/>
        </w:rPr>
        <w:t xml:space="preserve">for organic fertilisers in Zambia. </w:t>
      </w:r>
    </w:p>
    <w:p w14:paraId="4106F525" w14:textId="0E681FA6" w:rsidR="003F2687" w:rsidRDefault="003F2687" w:rsidP="003F2687">
      <w:pPr>
        <w:ind w:left="708"/>
        <w:rPr>
          <w:sz w:val="20"/>
          <w:szCs w:val="20"/>
          <w:lang w:val="en-GB"/>
        </w:rPr>
      </w:pPr>
    </w:p>
    <w:p w14:paraId="4B92D0F0" w14:textId="69631895" w:rsidR="003F2687" w:rsidRDefault="003F2687" w:rsidP="003F2687">
      <w:pPr>
        <w:ind w:left="70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consultant </w:t>
      </w:r>
      <w:r w:rsidR="00052B52">
        <w:rPr>
          <w:sz w:val="20"/>
          <w:szCs w:val="20"/>
          <w:lang w:val="en-GB"/>
        </w:rPr>
        <w:t xml:space="preserve">is expected to review the policy and regulatory environment for organic fertiliser in Zambia, providing a concise and clear overview of the requirements placed on </w:t>
      </w:r>
      <w:r w:rsidR="00865881">
        <w:rPr>
          <w:sz w:val="20"/>
          <w:szCs w:val="20"/>
          <w:lang w:val="en-GB"/>
        </w:rPr>
        <w:t xml:space="preserve">fertilisers in general, with a specific focus on </w:t>
      </w:r>
      <w:r w:rsidR="00052B52">
        <w:rPr>
          <w:sz w:val="20"/>
          <w:szCs w:val="20"/>
          <w:lang w:val="en-GB"/>
        </w:rPr>
        <w:t>organic fertiliser production and distribution.</w:t>
      </w:r>
    </w:p>
    <w:p w14:paraId="70342CE2" w14:textId="1CAAD031" w:rsidR="00E0443D" w:rsidRDefault="00E0443D" w:rsidP="003F2687">
      <w:pPr>
        <w:ind w:left="708"/>
        <w:rPr>
          <w:sz w:val="20"/>
          <w:szCs w:val="20"/>
          <w:lang w:val="en-GB"/>
        </w:rPr>
      </w:pPr>
    </w:p>
    <w:p w14:paraId="3A35B2E1" w14:textId="331731F8" w:rsidR="00E0443D" w:rsidRDefault="00E0443D" w:rsidP="00E0443D">
      <w:pPr>
        <w:pStyle w:val="ListParagrap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assignment should explore aspects of customer perception, awareness levels and access to organic fertilizer products. Th</w:t>
      </w:r>
      <w:r w:rsidR="00865881">
        <w:rPr>
          <w:sz w:val="20"/>
          <w:szCs w:val="20"/>
          <w:lang w:val="en-GB"/>
        </w:rPr>
        <w:t xml:space="preserve">e review </w:t>
      </w:r>
      <w:r w:rsidR="00362A79">
        <w:rPr>
          <w:sz w:val="20"/>
          <w:szCs w:val="20"/>
          <w:lang w:val="en-GB"/>
        </w:rPr>
        <w:t>will</w:t>
      </w:r>
      <w:r>
        <w:rPr>
          <w:sz w:val="20"/>
          <w:szCs w:val="20"/>
          <w:lang w:val="en-GB"/>
        </w:rPr>
        <w:t xml:space="preserve"> distinguish between commercial farmers and smallholder farmers and</w:t>
      </w:r>
      <w:r w:rsidR="00A90EDD">
        <w:rPr>
          <w:sz w:val="20"/>
          <w:szCs w:val="20"/>
          <w:lang w:val="en-GB"/>
        </w:rPr>
        <w:t xml:space="preserve"> provide information</w:t>
      </w:r>
      <w:r>
        <w:rPr>
          <w:sz w:val="20"/>
          <w:szCs w:val="20"/>
          <w:lang w:val="en-GB"/>
        </w:rPr>
        <w:t xml:space="preserve"> on the prevailing </w:t>
      </w:r>
      <w:r w:rsidR="00A90EDD">
        <w:rPr>
          <w:sz w:val="20"/>
          <w:szCs w:val="20"/>
          <w:lang w:val="en-GB"/>
        </w:rPr>
        <w:t xml:space="preserve">volumes of fertiliser (incl. </w:t>
      </w:r>
      <w:r>
        <w:rPr>
          <w:sz w:val="20"/>
          <w:szCs w:val="20"/>
          <w:lang w:val="en-GB"/>
        </w:rPr>
        <w:t>bag</w:t>
      </w:r>
      <w:r w:rsidR="00A90EDD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s</w:t>
      </w:r>
      <w:r w:rsidR="00A90EDD">
        <w:rPr>
          <w:sz w:val="20"/>
          <w:szCs w:val="20"/>
          <w:lang w:val="en-GB"/>
        </w:rPr>
        <w:t>izes)</w:t>
      </w:r>
      <w:r>
        <w:rPr>
          <w:sz w:val="20"/>
          <w:szCs w:val="20"/>
          <w:lang w:val="en-GB"/>
        </w:rPr>
        <w:t xml:space="preserve"> </w:t>
      </w:r>
      <w:r w:rsidR="00C96E1A">
        <w:rPr>
          <w:sz w:val="20"/>
          <w:szCs w:val="20"/>
          <w:lang w:val="en-GB"/>
        </w:rPr>
        <w:t>and preferred purchasing channels</w:t>
      </w:r>
      <w:r w:rsidR="00865881">
        <w:rPr>
          <w:sz w:val="20"/>
          <w:szCs w:val="20"/>
          <w:lang w:val="en-GB"/>
        </w:rPr>
        <w:t xml:space="preserve"> for end users</w:t>
      </w:r>
      <w:r>
        <w:rPr>
          <w:sz w:val="20"/>
          <w:szCs w:val="20"/>
          <w:lang w:val="en-GB"/>
        </w:rPr>
        <w:t>.</w:t>
      </w:r>
    </w:p>
    <w:p w14:paraId="1FA93761" w14:textId="77777777" w:rsidR="003F2687" w:rsidRDefault="003F2687" w:rsidP="00865E81">
      <w:pPr>
        <w:pStyle w:val="ListParagraph"/>
        <w:rPr>
          <w:sz w:val="20"/>
          <w:szCs w:val="20"/>
          <w:lang w:val="en-GB"/>
        </w:rPr>
      </w:pPr>
    </w:p>
    <w:p w14:paraId="131DCAD3" w14:textId="459D6856" w:rsidR="002C0041" w:rsidRDefault="00B938CD" w:rsidP="00865E81">
      <w:pPr>
        <w:pStyle w:val="ListParagraph"/>
        <w:rPr>
          <w:sz w:val="20"/>
          <w:szCs w:val="20"/>
          <w:lang w:val="en-GB"/>
        </w:rPr>
      </w:pPr>
      <w:r w:rsidRPr="00156F11">
        <w:rPr>
          <w:sz w:val="20"/>
          <w:szCs w:val="20"/>
          <w:lang w:val="en-GB"/>
        </w:rPr>
        <w:t xml:space="preserve">In addition, the assessment should explore </w:t>
      </w:r>
      <w:r w:rsidR="002261BB">
        <w:rPr>
          <w:sz w:val="20"/>
          <w:szCs w:val="20"/>
          <w:lang w:val="en-GB"/>
        </w:rPr>
        <w:t>channels and measures in place for end user</w:t>
      </w:r>
      <w:r w:rsidR="00B91B1B">
        <w:rPr>
          <w:sz w:val="20"/>
          <w:szCs w:val="20"/>
          <w:lang w:val="en-GB"/>
        </w:rPr>
        <w:t xml:space="preserve"> awareness of organic fertiliser (aligned with the overall market assessment)</w:t>
      </w:r>
      <w:r w:rsidR="002261BB">
        <w:rPr>
          <w:sz w:val="20"/>
          <w:szCs w:val="20"/>
          <w:lang w:val="en-GB"/>
        </w:rPr>
        <w:t xml:space="preserve"> and how successful existing measures are to promote the use of organic fertilisers. This can include</w:t>
      </w:r>
      <w:r w:rsidR="00B91B1B">
        <w:rPr>
          <w:sz w:val="20"/>
          <w:szCs w:val="20"/>
          <w:lang w:val="en-GB"/>
        </w:rPr>
        <w:t xml:space="preserve"> </w:t>
      </w:r>
      <w:r w:rsidR="00156F11" w:rsidRPr="00156F11">
        <w:rPr>
          <w:sz w:val="20"/>
          <w:szCs w:val="20"/>
          <w:lang w:val="en-GB"/>
        </w:rPr>
        <w:t>promotional platforms such as</w:t>
      </w:r>
      <w:r w:rsidR="00156F11">
        <w:rPr>
          <w:sz w:val="20"/>
          <w:szCs w:val="20"/>
          <w:lang w:val="en-GB"/>
        </w:rPr>
        <w:t xml:space="preserve"> the </w:t>
      </w:r>
      <w:hyperlink r:id="rId8" w:history="1">
        <w:r w:rsidR="00B64696" w:rsidRPr="00E91A66">
          <w:rPr>
            <w:rStyle w:val="Hyperlink"/>
            <w:lang w:val="en-GB"/>
          </w:rPr>
          <w:t>Organic Fertilizer made in Zambia | Facebook</w:t>
        </w:r>
      </w:hyperlink>
      <w:r w:rsidR="00740211" w:rsidRPr="00156F11">
        <w:rPr>
          <w:sz w:val="20"/>
          <w:szCs w:val="20"/>
          <w:lang w:val="en-GB"/>
        </w:rPr>
        <w:t xml:space="preserve"> </w:t>
      </w:r>
      <w:r w:rsidR="00B64696">
        <w:rPr>
          <w:sz w:val="20"/>
          <w:szCs w:val="20"/>
          <w:lang w:val="en-GB"/>
        </w:rPr>
        <w:t>for potential leads</w:t>
      </w:r>
      <w:r w:rsidR="002261BB">
        <w:rPr>
          <w:sz w:val="20"/>
          <w:szCs w:val="20"/>
          <w:lang w:val="en-GB"/>
        </w:rPr>
        <w:t xml:space="preserve"> and insights</w:t>
      </w:r>
      <w:r w:rsidR="00B64696">
        <w:rPr>
          <w:sz w:val="20"/>
          <w:szCs w:val="20"/>
          <w:lang w:val="en-GB"/>
        </w:rPr>
        <w:t>.</w:t>
      </w:r>
    </w:p>
    <w:p w14:paraId="2C1BCADC" w14:textId="41422E11" w:rsidR="003044BA" w:rsidRDefault="003044BA" w:rsidP="00865E81">
      <w:pPr>
        <w:pStyle w:val="ListParagraph"/>
        <w:rPr>
          <w:sz w:val="20"/>
          <w:szCs w:val="20"/>
          <w:lang w:val="en-GB"/>
        </w:rPr>
      </w:pPr>
    </w:p>
    <w:p w14:paraId="55D2C915" w14:textId="77777777" w:rsidR="00E57119" w:rsidRPr="00156F11" w:rsidRDefault="00E57119" w:rsidP="00E57119">
      <w:pPr>
        <w:pStyle w:val="ListParagraph"/>
        <w:rPr>
          <w:sz w:val="20"/>
          <w:szCs w:val="20"/>
          <w:lang w:val="en-GB"/>
        </w:rPr>
      </w:pPr>
    </w:p>
    <w:p w14:paraId="640B4216" w14:textId="362D41F5" w:rsidR="00CB0DC3" w:rsidRDefault="00B17298" w:rsidP="006936A0">
      <w:pPr>
        <w:pStyle w:val="ListParagraph"/>
        <w:numPr>
          <w:ilvl w:val="0"/>
          <w:numId w:val="4"/>
        </w:numPr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Analyse</w:t>
      </w:r>
      <w:r w:rsidRPr="004B2E35">
        <w:rPr>
          <w:b/>
          <w:bCs/>
          <w:sz w:val="20"/>
          <w:szCs w:val="20"/>
          <w:lang w:val="en-GB"/>
        </w:rPr>
        <w:t xml:space="preserve"> </w:t>
      </w:r>
      <w:r w:rsidR="0029773F" w:rsidRPr="004B2E35">
        <w:rPr>
          <w:b/>
          <w:bCs/>
          <w:sz w:val="20"/>
          <w:szCs w:val="20"/>
          <w:lang w:val="en-GB"/>
        </w:rPr>
        <w:t xml:space="preserve">the </w:t>
      </w:r>
      <w:r>
        <w:rPr>
          <w:b/>
          <w:bCs/>
          <w:sz w:val="20"/>
          <w:szCs w:val="20"/>
          <w:lang w:val="en-GB"/>
        </w:rPr>
        <w:t xml:space="preserve">costs and benefits of </w:t>
      </w:r>
      <w:r w:rsidR="0029773F" w:rsidRPr="004B2E35">
        <w:rPr>
          <w:b/>
          <w:bCs/>
          <w:sz w:val="20"/>
          <w:szCs w:val="20"/>
          <w:lang w:val="en-GB"/>
        </w:rPr>
        <w:t>organic fertilizer solutions currently available</w:t>
      </w:r>
      <w:r w:rsidR="0029773F" w:rsidRPr="0015799B">
        <w:rPr>
          <w:sz w:val="20"/>
          <w:szCs w:val="20"/>
          <w:lang w:val="en-GB"/>
        </w:rPr>
        <w:t xml:space="preserve"> in Zambia</w:t>
      </w:r>
      <w:r w:rsidR="00EF7AEB">
        <w:rPr>
          <w:sz w:val="20"/>
          <w:szCs w:val="20"/>
          <w:lang w:val="en-GB"/>
        </w:rPr>
        <w:t xml:space="preserve"> </w:t>
      </w:r>
      <w:r w:rsidR="000C5EC5">
        <w:rPr>
          <w:sz w:val="20"/>
          <w:szCs w:val="20"/>
          <w:lang w:val="en-GB"/>
        </w:rPr>
        <w:t>as a competing agricultural input</w:t>
      </w:r>
      <w:r w:rsidR="00D22769">
        <w:rPr>
          <w:sz w:val="20"/>
          <w:szCs w:val="20"/>
          <w:lang w:val="en-GB"/>
        </w:rPr>
        <w:t xml:space="preserve"> versus </w:t>
      </w:r>
      <w:r w:rsidR="00E33DA8">
        <w:rPr>
          <w:sz w:val="20"/>
          <w:szCs w:val="20"/>
          <w:lang w:val="en-GB"/>
        </w:rPr>
        <w:t xml:space="preserve">mineral </w:t>
      </w:r>
      <w:r w:rsidR="00D22769">
        <w:rPr>
          <w:sz w:val="20"/>
          <w:szCs w:val="20"/>
          <w:lang w:val="en-GB"/>
        </w:rPr>
        <w:t>fertilizers</w:t>
      </w:r>
      <w:r w:rsidR="00B12E9B">
        <w:rPr>
          <w:sz w:val="20"/>
          <w:szCs w:val="20"/>
          <w:lang w:val="en-GB"/>
        </w:rPr>
        <w:t xml:space="preserve"> and commercially available compost</w:t>
      </w:r>
      <w:r w:rsidR="00702716">
        <w:rPr>
          <w:sz w:val="20"/>
          <w:szCs w:val="20"/>
          <w:lang w:val="en-GB"/>
        </w:rPr>
        <w:t xml:space="preserve">. </w:t>
      </w:r>
    </w:p>
    <w:p w14:paraId="71860FA0" w14:textId="77777777" w:rsidR="00CB0DC3" w:rsidRDefault="00CB0DC3" w:rsidP="009C7C3D">
      <w:pPr>
        <w:pStyle w:val="ListParagraph"/>
        <w:rPr>
          <w:sz w:val="20"/>
          <w:szCs w:val="20"/>
          <w:lang w:val="en-GB"/>
        </w:rPr>
      </w:pPr>
    </w:p>
    <w:p w14:paraId="58CA5E7C" w14:textId="0403BB2F" w:rsidR="000B31C9" w:rsidRDefault="008B2163" w:rsidP="000B31C9">
      <w:pPr>
        <w:pStyle w:val="ListParagrap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For</w:t>
      </w:r>
      <w:r w:rsidR="000B31C9">
        <w:rPr>
          <w:sz w:val="20"/>
          <w:szCs w:val="20"/>
          <w:lang w:val="en-GB"/>
        </w:rPr>
        <w:t xml:space="preserve"> this assignment</w:t>
      </w:r>
      <w:r w:rsidR="009C4E06" w:rsidRPr="009C7C3D">
        <w:rPr>
          <w:sz w:val="20"/>
          <w:szCs w:val="20"/>
          <w:lang w:val="en-GB"/>
        </w:rPr>
        <w:t>, t</w:t>
      </w:r>
      <w:r w:rsidR="00DC094F" w:rsidRPr="009C7C3D">
        <w:rPr>
          <w:sz w:val="20"/>
          <w:szCs w:val="20"/>
          <w:lang w:val="en-GB"/>
        </w:rPr>
        <w:t>he cost benefit analysis is mos</w:t>
      </w:r>
      <w:r w:rsidR="009C4E06" w:rsidRPr="009C7C3D">
        <w:rPr>
          <w:sz w:val="20"/>
          <w:szCs w:val="20"/>
          <w:lang w:val="en-GB"/>
        </w:rPr>
        <w:t xml:space="preserve">t important at small scale farmer level. </w:t>
      </w:r>
      <w:r w:rsidR="000B31C9">
        <w:rPr>
          <w:sz w:val="20"/>
          <w:szCs w:val="20"/>
          <w:lang w:val="en-GB"/>
        </w:rPr>
        <w:t xml:space="preserve">The leading question is: can organic fertilizer replace mineral fertilizer? </w:t>
      </w:r>
      <w:r w:rsidR="003A3DAB">
        <w:rPr>
          <w:sz w:val="20"/>
          <w:szCs w:val="20"/>
          <w:lang w:val="en-GB"/>
        </w:rPr>
        <w:t xml:space="preserve">And can a </w:t>
      </w:r>
      <w:proofErr w:type="spellStart"/>
      <w:r w:rsidR="003A3DAB">
        <w:rPr>
          <w:sz w:val="20"/>
          <w:szCs w:val="20"/>
          <w:lang w:val="en-GB"/>
        </w:rPr>
        <w:t>bioslurry</w:t>
      </w:r>
      <w:proofErr w:type="spellEnd"/>
      <w:r w:rsidR="003A3DAB">
        <w:rPr>
          <w:sz w:val="20"/>
          <w:szCs w:val="20"/>
          <w:lang w:val="en-GB"/>
        </w:rPr>
        <w:t>- or compost-based fertiliser substitute mineral fertilisers?</w:t>
      </w:r>
    </w:p>
    <w:p w14:paraId="08CCB891" w14:textId="66979196" w:rsidR="00C61017" w:rsidRPr="009C7C3D" w:rsidRDefault="00C61017" w:rsidP="009C7C3D">
      <w:pPr>
        <w:rPr>
          <w:sz w:val="20"/>
          <w:szCs w:val="20"/>
          <w:lang w:val="en-GB"/>
        </w:rPr>
      </w:pPr>
    </w:p>
    <w:p w14:paraId="47031805" w14:textId="0A3687F2" w:rsidR="00C61017" w:rsidRDefault="008F4C7C" w:rsidP="00C61017">
      <w:pPr>
        <w:pStyle w:val="ListParagrap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This requires some scientific underpinning in terms of comparison of nutrient </w:t>
      </w:r>
      <w:r w:rsidR="009550B6">
        <w:rPr>
          <w:sz w:val="20"/>
          <w:szCs w:val="20"/>
          <w:lang w:val="en-GB"/>
        </w:rPr>
        <w:t xml:space="preserve">content. </w:t>
      </w:r>
      <w:r w:rsidR="004463BE">
        <w:rPr>
          <w:sz w:val="20"/>
          <w:szCs w:val="20"/>
          <w:lang w:val="en-GB"/>
        </w:rPr>
        <w:t xml:space="preserve">Notably, </w:t>
      </w:r>
      <w:r w:rsidR="00DE138D">
        <w:rPr>
          <w:sz w:val="20"/>
          <w:szCs w:val="20"/>
          <w:lang w:val="en-GB"/>
        </w:rPr>
        <w:t xml:space="preserve">a </w:t>
      </w:r>
      <w:r w:rsidR="004463BE">
        <w:rPr>
          <w:sz w:val="20"/>
          <w:szCs w:val="20"/>
          <w:lang w:val="en-GB"/>
        </w:rPr>
        <w:t>prevailing perception is that organic fertilizers and manure are lacking in Potassium</w:t>
      </w:r>
      <w:r w:rsidR="00900C36">
        <w:rPr>
          <w:sz w:val="20"/>
          <w:szCs w:val="20"/>
          <w:lang w:val="en-GB"/>
        </w:rPr>
        <w:t xml:space="preserve"> and micro-nutrients </w:t>
      </w:r>
      <w:r w:rsidR="002E1BBF">
        <w:rPr>
          <w:sz w:val="20"/>
          <w:szCs w:val="20"/>
          <w:lang w:val="en-GB"/>
        </w:rPr>
        <w:t>(</w:t>
      </w:r>
      <w:r w:rsidR="002E1BBF" w:rsidRPr="00E91A66">
        <w:rPr>
          <w:sz w:val="20"/>
          <w:szCs w:val="20"/>
          <w:lang w:val="en-GB"/>
        </w:rPr>
        <w:t>boron (B), chlorine (Cl), copper (Cu), iron (Fe), manganese (Mn), molybdenum (Mo), and zinc (Zn)</w:t>
      </w:r>
      <w:r w:rsidR="00900C36">
        <w:rPr>
          <w:sz w:val="20"/>
          <w:szCs w:val="20"/>
          <w:lang w:val="en-GB"/>
        </w:rPr>
        <w:t xml:space="preserve">. </w:t>
      </w:r>
    </w:p>
    <w:p w14:paraId="67C136E1" w14:textId="77777777" w:rsidR="00C61017" w:rsidRDefault="00C61017" w:rsidP="00C61017">
      <w:pPr>
        <w:pStyle w:val="ListParagraph"/>
        <w:rPr>
          <w:sz w:val="20"/>
          <w:szCs w:val="20"/>
          <w:lang w:val="en-GB"/>
        </w:rPr>
      </w:pPr>
    </w:p>
    <w:p w14:paraId="0ADC3548" w14:textId="3CF4C36E" w:rsidR="00B12E9B" w:rsidRDefault="00B12E9B" w:rsidP="00C61017">
      <w:pPr>
        <w:pStyle w:val="ListParagraph"/>
        <w:rPr>
          <w:sz w:val="20"/>
          <w:szCs w:val="20"/>
          <w:lang w:val="en-GB"/>
        </w:rPr>
      </w:pPr>
    </w:p>
    <w:p w14:paraId="50F4D7F8" w14:textId="1EDC0F11" w:rsidR="00520716" w:rsidRDefault="004C1990" w:rsidP="004C1990">
      <w:pPr>
        <w:pStyle w:val="ListParagraph"/>
        <w:numPr>
          <w:ilvl w:val="0"/>
          <w:numId w:val="4"/>
        </w:numPr>
        <w:rPr>
          <w:sz w:val="20"/>
          <w:szCs w:val="20"/>
          <w:lang w:val="en-GB"/>
        </w:rPr>
      </w:pPr>
      <w:r w:rsidRPr="009C7C3D">
        <w:rPr>
          <w:b/>
          <w:bCs/>
          <w:sz w:val="20"/>
          <w:szCs w:val="20"/>
          <w:lang w:val="en-GB"/>
        </w:rPr>
        <w:t>Gain an</w:t>
      </w:r>
      <w:r w:rsidRPr="0015799B">
        <w:rPr>
          <w:sz w:val="20"/>
          <w:szCs w:val="20"/>
          <w:lang w:val="en-GB"/>
        </w:rPr>
        <w:t xml:space="preserve"> </w:t>
      </w:r>
      <w:r w:rsidRPr="004B2E35">
        <w:rPr>
          <w:b/>
          <w:bCs/>
          <w:sz w:val="20"/>
          <w:szCs w:val="20"/>
          <w:lang w:val="en-GB"/>
        </w:rPr>
        <w:t>estimate of the potential market size</w:t>
      </w:r>
      <w:r w:rsidRPr="0015799B">
        <w:rPr>
          <w:sz w:val="20"/>
          <w:szCs w:val="20"/>
          <w:lang w:val="en-GB"/>
        </w:rPr>
        <w:t xml:space="preserve"> </w:t>
      </w:r>
      <w:r w:rsidRPr="009C7C3D">
        <w:rPr>
          <w:b/>
          <w:bCs/>
          <w:sz w:val="20"/>
          <w:szCs w:val="20"/>
          <w:lang w:val="en-GB"/>
        </w:rPr>
        <w:t xml:space="preserve">for a </w:t>
      </w:r>
      <w:proofErr w:type="spellStart"/>
      <w:r w:rsidRPr="009C7C3D">
        <w:rPr>
          <w:b/>
          <w:bCs/>
          <w:sz w:val="20"/>
          <w:szCs w:val="20"/>
          <w:lang w:val="en-GB"/>
        </w:rPr>
        <w:t>bioslurry</w:t>
      </w:r>
      <w:proofErr w:type="spellEnd"/>
      <w:r w:rsidRPr="009C7C3D">
        <w:rPr>
          <w:b/>
          <w:bCs/>
          <w:sz w:val="20"/>
          <w:szCs w:val="20"/>
          <w:lang w:val="en-GB"/>
        </w:rPr>
        <w:t>-based fertiliser</w:t>
      </w:r>
      <w:r w:rsidRPr="0015799B">
        <w:rPr>
          <w:sz w:val="20"/>
          <w:szCs w:val="20"/>
          <w:lang w:val="en-GB"/>
        </w:rPr>
        <w:t xml:space="preserve"> </w:t>
      </w:r>
      <w:r w:rsidRPr="009C7C3D">
        <w:rPr>
          <w:b/>
          <w:bCs/>
          <w:sz w:val="20"/>
          <w:szCs w:val="20"/>
          <w:lang w:val="en-GB"/>
        </w:rPr>
        <w:t>product</w:t>
      </w:r>
      <w:r w:rsidR="00103E00">
        <w:rPr>
          <w:sz w:val="20"/>
          <w:szCs w:val="20"/>
          <w:lang w:val="en-GB"/>
        </w:rPr>
        <w:t xml:space="preserve">, based on the analysis </w:t>
      </w:r>
      <w:r w:rsidR="009A11E2">
        <w:rPr>
          <w:sz w:val="20"/>
          <w:szCs w:val="20"/>
          <w:lang w:val="en-GB"/>
        </w:rPr>
        <w:t xml:space="preserve">on the overall market assessment, enabling environment and end user analysis and cost benefit analysis. </w:t>
      </w:r>
    </w:p>
    <w:p w14:paraId="7C7B857A" w14:textId="77777777" w:rsidR="00520716" w:rsidRDefault="00520716" w:rsidP="00520716">
      <w:pPr>
        <w:pStyle w:val="ListParagraph"/>
        <w:rPr>
          <w:sz w:val="20"/>
          <w:szCs w:val="20"/>
          <w:lang w:val="en-GB"/>
        </w:rPr>
      </w:pPr>
    </w:p>
    <w:p w14:paraId="5CCFE7CA" w14:textId="1A2E90F1" w:rsidR="006023E8" w:rsidRPr="009C7C3D" w:rsidRDefault="006023E8" w:rsidP="009C7C3D">
      <w:pPr>
        <w:pStyle w:val="ListParagraph"/>
        <w:rPr>
          <w:sz w:val="20"/>
          <w:szCs w:val="20"/>
          <w:lang w:val="en-GB"/>
        </w:rPr>
      </w:pPr>
      <w:r w:rsidRPr="009C7C3D">
        <w:rPr>
          <w:sz w:val="20"/>
          <w:szCs w:val="20"/>
          <w:lang w:val="en-GB"/>
        </w:rPr>
        <w:t>Th</w:t>
      </w:r>
      <w:r w:rsidR="00520716" w:rsidRPr="009C7C3D">
        <w:rPr>
          <w:sz w:val="20"/>
          <w:szCs w:val="20"/>
          <w:lang w:val="en-GB"/>
        </w:rPr>
        <w:t>ere is a 1:1 ratio</w:t>
      </w:r>
      <w:r w:rsidR="00520716">
        <w:rPr>
          <w:sz w:val="20"/>
          <w:szCs w:val="20"/>
          <w:lang w:val="en-GB"/>
        </w:rPr>
        <w:t xml:space="preserve"> </w:t>
      </w:r>
      <w:r w:rsidR="009B629D">
        <w:rPr>
          <w:sz w:val="20"/>
          <w:szCs w:val="20"/>
          <w:lang w:val="en-GB"/>
        </w:rPr>
        <w:t>b</w:t>
      </w:r>
      <w:r w:rsidR="00520716">
        <w:rPr>
          <w:sz w:val="20"/>
          <w:szCs w:val="20"/>
          <w:lang w:val="en-GB"/>
        </w:rPr>
        <w:t xml:space="preserve">etween the market potential for biodigesters and </w:t>
      </w:r>
      <w:proofErr w:type="spellStart"/>
      <w:r w:rsidR="00520716">
        <w:rPr>
          <w:sz w:val="20"/>
          <w:szCs w:val="20"/>
          <w:lang w:val="en-GB"/>
        </w:rPr>
        <w:t>bioslurry</w:t>
      </w:r>
      <w:proofErr w:type="spellEnd"/>
      <w:r w:rsidR="00520716">
        <w:rPr>
          <w:sz w:val="20"/>
          <w:szCs w:val="20"/>
          <w:lang w:val="en-GB"/>
        </w:rPr>
        <w:t xml:space="preserve">. The </w:t>
      </w:r>
      <w:r w:rsidRPr="009C7C3D">
        <w:rPr>
          <w:sz w:val="20"/>
          <w:szCs w:val="20"/>
          <w:lang w:val="en-GB"/>
        </w:rPr>
        <w:t xml:space="preserve">assessment </w:t>
      </w:r>
      <w:r w:rsidR="00520716">
        <w:rPr>
          <w:sz w:val="20"/>
          <w:szCs w:val="20"/>
          <w:lang w:val="en-GB"/>
        </w:rPr>
        <w:t xml:space="preserve">therefore </w:t>
      </w:r>
      <w:r w:rsidRPr="009C7C3D">
        <w:rPr>
          <w:sz w:val="20"/>
          <w:szCs w:val="20"/>
          <w:lang w:val="en-GB"/>
        </w:rPr>
        <w:t xml:space="preserve">also should </w:t>
      </w:r>
      <w:proofErr w:type="gramStart"/>
      <w:r w:rsidRPr="009C7C3D">
        <w:rPr>
          <w:sz w:val="20"/>
          <w:szCs w:val="20"/>
          <w:lang w:val="en-GB"/>
        </w:rPr>
        <w:t>take into account</w:t>
      </w:r>
      <w:proofErr w:type="gramEnd"/>
      <w:r w:rsidRPr="009C7C3D">
        <w:rPr>
          <w:sz w:val="20"/>
          <w:szCs w:val="20"/>
          <w:lang w:val="en-GB"/>
        </w:rPr>
        <w:t xml:space="preserve"> the </w:t>
      </w:r>
      <w:r w:rsidR="009F77CA">
        <w:rPr>
          <w:sz w:val="20"/>
          <w:szCs w:val="20"/>
          <w:lang w:val="en-GB"/>
        </w:rPr>
        <w:t xml:space="preserve">market for biodigesters and resulting </w:t>
      </w:r>
      <w:r w:rsidRPr="009C7C3D">
        <w:rPr>
          <w:sz w:val="20"/>
          <w:szCs w:val="20"/>
          <w:lang w:val="en-GB"/>
        </w:rPr>
        <w:t xml:space="preserve">availability of </w:t>
      </w:r>
      <w:proofErr w:type="spellStart"/>
      <w:r w:rsidRPr="009C7C3D">
        <w:rPr>
          <w:sz w:val="20"/>
          <w:szCs w:val="20"/>
          <w:lang w:val="en-GB"/>
        </w:rPr>
        <w:t>bioslurry</w:t>
      </w:r>
      <w:proofErr w:type="spellEnd"/>
      <w:r w:rsidRPr="009C7C3D">
        <w:rPr>
          <w:sz w:val="20"/>
          <w:szCs w:val="20"/>
          <w:lang w:val="en-GB"/>
        </w:rPr>
        <w:t xml:space="preserve"> to produce biofertilizer (</w:t>
      </w:r>
      <w:r w:rsidR="009F77CA">
        <w:rPr>
          <w:sz w:val="20"/>
          <w:szCs w:val="20"/>
          <w:lang w:val="en-GB"/>
        </w:rPr>
        <w:t xml:space="preserve">a market study for </w:t>
      </w:r>
      <w:r w:rsidR="00520716" w:rsidRPr="009C7C3D">
        <w:rPr>
          <w:sz w:val="20"/>
          <w:szCs w:val="20"/>
          <w:lang w:val="en-GB"/>
        </w:rPr>
        <w:t>biodigesters</w:t>
      </w:r>
      <w:r w:rsidR="009F77CA">
        <w:rPr>
          <w:sz w:val="20"/>
          <w:szCs w:val="20"/>
          <w:lang w:val="en-GB"/>
        </w:rPr>
        <w:t xml:space="preserve"> and biogas</w:t>
      </w:r>
      <w:r w:rsidR="00520716" w:rsidRPr="009C7C3D">
        <w:rPr>
          <w:sz w:val="20"/>
          <w:szCs w:val="20"/>
          <w:lang w:val="en-GB"/>
        </w:rPr>
        <w:t xml:space="preserve"> in Zambia</w:t>
      </w:r>
      <w:r w:rsidR="009F77CA">
        <w:rPr>
          <w:sz w:val="20"/>
          <w:szCs w:val="20"/>
          <w:lang w:val="en-GB"/>
        </w:rPr>
        <w:t xml:space="preserve"> is available</w:t>
      </w:r>
      <w:r w:rsidR="00520716" w:rsidRPr="009C7C3D">
        <w:rPr>
          <w:sz w:val="20"/>
          <w:szCs w:val="20"/>
          <w:lang w:val="en-GB"/>
        </w:rPr>
        <w:t>)</w:t>
      </w:r>
      <w:r w:rsidRPr="009C7C3D">
        <w:rPr>
          <w:sz w:val="20"/>
          <w:szCs w:val="20"/>
          <w:lang w:val="en-GB"/>
        </w:rPr>
        <w:t xml:space="preserve">. </w:t>
      </w:r>
    </w:p>
    <w:p w14:paraId="5C27F519" w14:textId="77777777" w:rsidR="006023E8" w:rsidRDefault="006023E8" w:rsidP="006023E8">
      <w:pPr>
        <w:pStyle w:val="ListParagraph"/>
        <w:rPr>
          <w:sz w:val="20"/>
          <w:szCs w:val="20"/>
          <w:lang w:val="en-GB"/>
        </w:rPr>
      </w:pPr>
    </w:p>
    <w:p w14:paraId="15BA4F0A" w14:textId="6AFFD3DE" w:rsidR="004C1990" w:rsidRPr="009C7C3D" w:rsidRDefault="004C1990" w:rsidP="009C7C3D">
      <w:pPr>
        <w:pStyle w:val="ListParagraph"/>
        <w:rPr>
          <w:sz w:val="20"/>
          <w:szCs w:val="20"/>
          <w:lang w:val="en-GB"/>
        </w:rPr>
      </w:pPr>
    </w:p>
    <w:p w14:paraId="1978E4CF" w14:textId="77777777" w:rsidR="004C1990" w:rsidRPr="009C7C3D" w:rsidRDefault="004C1990" w:rsidP="009C7C3D">
      <w:pPr>
        <w:rPr>
          <w:sz w:val="20"/>
          <w:szCs w:val="20"/>
          <w:lang w:val="en-GB"/>
        </w:rPr>
      </w:pPr>
    </w:p>
    <w:p w14:paraId="06506045" w14:textId="2462CE2B" w:rsidR="006E1CAA" w:rsidRPr="006E1CAA" w:rsidRDefault="00351C63" w:rsidP="006936A0">
      <w:pPr>
        <w:pStyle w:val="ListParagraph"/>
        <w:numPr>
          <w:ilvl w:val="0"/>
          <w:numId w:val="4"/>
        </w:numPr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I</w:t>
      </w:r>
      <w:r w:rsidR="00955801" w:rsidRPr="004B2E35">
        <w:rPr>
          <w:b/>
          <w:bCs/>
          <w:sz w:val="20"/>
          <w:szCs w:val="20"/>
          <w:lang w:val="en-GB"/>
        </w:rPr>
        <w:t>nform</w:t>
      </w:r>
      <w:r w:rsidR="004122A2" w:rsidRPr="004B2E35">
        <w:rPr>
          <w:b/>
          <w:bCs/>
          <w:sz w:val="20"/>
          <w:szCs w:val="20"/>
          <w:lang w:val="en-GB"/>
        </w:rPr>
        <w:t xml:space="preserve"> </w:t>
      </w:r>
      <w:r w:rsidR="00955801" w:rsidRPr="004B2E35">
        <w:rPr>
          <w:b/>
          <w:bCs/>
          <w:sz w:val="20"/>
          <w:szCs w:val="20"/>
          <w:lang w:val="en-GB"/>
        </w:rPr>
        <w:t xml:space="preserve">development of a </w:t>
      </w:r>
      <w:r w:rsidR="004122A2" w:rsidRPr="004B2E35">
        <w:rPr>
          <w:b/>
          <w:bCs/>
          <w:sz w:val="20"/>
          <w:szCs w:val="20"/>
          <w:lang w:val="en-GB"/>
        </w:rPr>
        <w:t xml:space="preserve">roadmap for </w:t>
      </w:r>
      <w:r w:rsidR="00955801" w:rsidRPr="004B2E35">
        <w:rPr>
          <w:b/>
          <w:bCs/>
          <w:sz w:val="20"/>
          <w:szCs w:val="20"/>
          <w:lang w:val="en-GB"/>
        </w:rPr>
        <w:t>a bio</w:t>
      </w:r>
      <w:r w:rsidR="00DE051D">
        <w:rPr>
          <w:b/>
          <w:bCs/>
          <w:sz w:val="20"/>
          <w:szCs w:val="20"/>
          <w:lang w:val="en-GB"/>
        </w:rPr>
        <w:t>-</w:t>
      </w:r>
      <w:r w:rsidR="00955801" w:rsidRPr="004B2E35">
        <w:rPr>
          <w:b/>
          <w:bCs/>
          <w:sz w:val="20"/>
          <w:szCs w:val="20"/>
          <w:lang w:val="en-GB"/>
        </w:rPr>
        <w:t xml:space="preserve">fertiliser </w:t>
      </w:r>
      <w:r w:rsidR="004122A2" w:rsidRPr="004B2E35">
        <w:rPr>
          <w:b/>
          <w:bCs/>
          <w:sz w:val="20"/>
          <w:szCs w:val="20"/>
          <w:lang w:val="en-GB"/>
        </w:rPr>
        <w:t>product</w:t>
      </w:r>
      <w:r w:rsidR="004B1684">
        <w:rPr>
          <w:b/>
          <w:bCs/>
          <w:sz w:val="20"/>
          <w:szCs w:val="20"/>
          <w:lang w:val="en-GB"/>
        </w:rPr>
        <w:t xml:space="preserve">, </w:t>
      </w:r>
      <w:r w:rsidR="00DE051D">
        <w:rPr>
          <w:sz w:val="20"/>
          <w:szCs w:val="20"/>
          <w:lang w:val="en-GB"/>
        </w:rPr>
        <w:t xml:space="preserve">limited to </w:t>
      </w:r>
      <w:r w:rsidR="00047A7C">
        <w:rPr>
          <w:sz w:val="20"/>
          <w:szCs w:val="20"/>
          <w:lang w:val="en-GB"/>
        </w:rPr>
        <w:t xml:space="preserve">the </w:t>
      </w:r>
      <w:proofErr w:type="spellStart"/>
      <w:r w:rsidR="008626C5" w:rsidRPr="0015799B">
        <w:rPr>
          <w:sz w:val="20"/>
          <w:szCs w:val="20"/>
          <w:lang w:val="en-GB"/>
        </w:rPr>
        <w:t>bioslurry</w:t>
      </w:r>
      <w:proofErr w:type="spellEnd"/>
      <w:r w:rsidR="008626C5" w:rsidRPr="0015799B">
        <w:rPr>
          <w:sz w:val="20"/>
          <w:szCs w:val="20"/>
          <w:lang w:val="en-GB"/>
        </w:rPr>
        <w:t xml:space="preserve">-based fertiliser </w:t>
      </w:r>
      <w:r w:rsidR="007E345F">
        <w:rPr>
          <w:sz w:val="20"/>
          <w:szCs w:val="20"/>
          <w:lang w:val="en-GB"/>
        </w:rPr>
        <w:t xml:space="preserve">product </w:t>
      </w:r>
      <w:r w:rsidR="00047A7C">
        <w:rPr>
          <w:sz w:val="20"/>
          <w:szCs w:val="20"/>
          <w:lang w:val="en-GB"/>
        </w:rPr>
        <w:t>coming from the</w:t>
      </w:r>
      <w:r w:rsidR="00D11B81">
        <w:rPr>
          <w:sz w:val="20"/>
          <w:szCs w:val="20"/>
          <w:lang w:val="en-GB"/>
        </w:rPr>
        <w:t xml:space="preserve"> </w:t>
      </w:r>
      <w:r w:rsidR="002E4508">
        <w:rPr>
          <w:sz w:val="20"/>
          <w:szCs w:val="20"/>
          <w:lang w:val="en-GB"/>
        </w:rPr>
        <w:t xml:space="preserve">INCREASE </w:t>
      </w:r>
      <w:r w:rsidR="00226F73">
        <w:rPr>
          <w:sz w:val="20"/>
          <w:szCs w:val="20"/>
          <w:lang w:val="en-GB"/>
        </w:rPr>
        <w:t xml:space="preserve">project’s </w:t>
      </w:r>
      <w:proofErr w:type="spellStart"/>
      <w:r w:rsidR="00226F73">
        <w:rPr>
          <w:sz w:val="20"/>
          <w:szCs w:val="20"/>
          <w:lang w:val="en-GB"/>
        </w:rPr>
        <w:t>Zamdigester</w:t>
      </w:r>
      <w:proofErr w:type="spellEnd"/>
      <w:r w:rsidR="00047A7C">
        <w:rPr>
          <w:sz w:val="20"/>
          <w:szCs w:val="20"/>
          <w:lang w:val="en-GB"/>
        </w:rPr>
        <w:t xml:space="preserve"> </w:t>
      </w:r>
      <w:r w:rsidR="00D11B81">
        <w:rPr>
          <w:sz w:val="20"/>
          <w:szCs w:val="20"/>
          <w:lang w:val="en-GB"/>
        </w:rPr>
        <w:t xml:space="preserve">units and </w:t>
      </w:r>
      <w:r w:rsidR="008952DB">
        <w:rPr>
          <w:sz w:val="20"/>
          <w:szCs w:val="20"/>
          <w:lang w:val="en-GB"/>
        </w:rPr>
        <w:t>its</w:t>
      </w:r>
      <w:r w:rsidR="00D11B81">
        <w:rPr>
          <w:sz w:val="20"/>
          <w:szCs w:val="20"/>
          <w:lang w:val="en-GB"/>
        </w:rPr>
        <w:t xml:space="preserve"> </w:t>
      </w:r>
      <w:proofErr w:type="spellStart"/>
      <w:r w:rsidR="00D11B81">
        <w:rPr>
          <w:sz w:val="20"/>
          <w:szCs w:val="20"/>
          <w:lang w:val="en-GB"/>
        </w:rPr>
        <w:t>HomeBioGas</w:t>
      </w:r>
      <w:proofErr w:type="spellEnd"/>
      <w:r w:rsidR="00D11B81">
        <w:rPr>
          <w:sz w:val="20"/>
          <w:szCs w:val="20"/>
          <w:lang w:val="en-GB"/>
        </w:rPr>
        <w:t xml:space="preserve"> units</w:t>
      </w:r>
      <w:r w:rsidR="005C3D7F">
        <w:rPr>
          <w:sz w:val="20"/>
          <w:szCs w:val="20"/>
          <w:lang w:val="en-GB"/>
        </w:rPr>
        <w:t xml:space="preserve">. </w:t>
      </w:r>
    </w:p>
    <w:p w14:paraId="4ABDFF3E" w14:textId="77777777" w:rsidR="006E1CAA" w:rsidRPr="006E1CAA" w:rsidRDefault="006E1CAA" w:rsidP="006E1CAA">
      <w:pPr>
        <w:pStyle w:val="ListParagraph"/>
        <w:rPr>
          <w:b/>
          <w:bCs/>
          <w:sz w:val="20"/>
          <w:szCs w:val="20"/>
          <w:lang w:val="en-GB"/>
        </w:rPr>
      </w:pPr>
    </w:p>
    <w:p w14:paraId="1CC0E1E3" w14:textId="77777777" w:rsidR="009821B1" w:rsidRDefault="00660C92" w:rsidP="006E1CAA">
      <w:pPr>
        <w:pStyle w:val="ListParagrap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</w:t>
      </w:r>
      <w:r w:rsidR="00746EF3">
        <w:rPr>
          <w:sz w:val="20"/>
          <w:szCs w:val="20"/>
          <w:lang w:val="en-GB"/>
        </w:rPr>
        <w:t xml:space="preserve">assignment </w:t>
      </w:r>
      <w:r>
        <w:rPr>
          <w:sz w:val="20"/>
          <w:szCs w:val="20"/>
          <w:lang w:val="en-GB"/>
        </w:rPr>
        <w:t xml:space="preserve">should </w:t>
      </w:r>
      <w:r w:rsidR="00746EF3">
        <w:rPr>
          <w:sz w:val="20"/>
          <w:szCs w:val="20"/>
          <w:lang w:val="en-GB"/>
        </w:rPr>
        <w:t xml:space="preserve">demonstrate </w:t>
      </w:r>
      <w:r>
        <w:rPr>
          <w:sz w:val="20"/>
          <w:szCs w:val="20"/>
          <w:lang w:val="en-GB"/>
        </w:rPr>
        <w:t xml:space="preserve">the most plausible value chain design for a </w:t>
      </w:r>
      <w:proofErr w:type="spellStart"/>
      <w:r>
        <w:rPr>
          <w:sz w:val="20"/>
          <w:szCs w:val="20"/>
          <w:lang w:val="en-GB"/>
        </w:rPr>
        <w:t>bioslurry</w:t>
      </w:r>
      <w:proofErr w:type="spellEnd"/>
      <w:r>
        <w:rPr>
          <w:sz w:val="20"/>
          <w:szCs w:val="20"/>
          <w:lang w:val="en-GB"/>
        </w:rPr>
        <w:t>-based biofertilizer</w:t>
      </w:r>
      <w:r w:rsidR="009821B1">
        <w:rPr>
          <w:sz w:val="20"/>
          <w:szCs w:val="20"/>
          <w:lang w:val="en-GB"/>
        </w:rPr>
        <w:t xml:space="preserve"> through a detailed roadmap. This will need to </w:t>
      </w:r>
      <w:r w:rsidR="0027105B">
        <w:rPr>
          <w:sz w:val="20"/>
          <w:szCs w:val="20"/>
          <w:lang w:val="en-GB"/>
        </w:rPr>
        <w:t>includ</w:t>
      </w:r>
      <w:r w:rsidR="009821B1">
        <w:rPr>
          <w:sz w:val="20"/>
          <w:szCs w:val="20"/>
          <w:lang w:val="en-GB"/>
        </w:rPr>
        <w:t>e</w:t>
      </w:r>
      <w:r w:rsidR="0027105B">
        <w:rPr>
          <w:sz w:val="20"/>
          <w:szCs w:val="20"/>
          <w:lang w:val="en-GB"/>
        </w:rPr>
        <w:t xml:space="preserve"> </w:t>
      </w:r>
      <w:r w:rsidR="00746EF3">
        <w:rPr>
          <w:sz w:val="20"/>
          <w:szCs w:val="20"/>
          <w:lang w:val="en-GB"/>
        </w:rPr>
        <w:t xml:space="preserve">slurry aggregation, </w:t>
      </w:r>
      <w:r w:rsidR="0027105B">
        <w:rPr>
          <w:sz w:val="20"/>
          <w:szCs w:val="20"/>
          <w:lang w:val="en-GB"/>
        </w:rPr>
        <w:t>routes to market</w:t>
      </w:r>
      <w:r w:rsidR="00746EF3">
        <w:rPr>
          <w:sz w:val="20"/>
          <w:szCs w:val="20"/>
          <w:lang w:val="en-GB"/>
        </w:rPr>
        <w:t xml:space="preserve"> and </w:t>
      </w:r>
      <w:proofErr w:type="spellStart"/>
      <w:r w:rsidR="00746EF3">
        <w:rPr>
          <w:sz w:val="20"/>
          <w:szCs w:val="20"/>
          <w:lang w:val="en-GB"/>
        </w:rPr>
        <w:t>offtaker</w:t>
      </w:r>
      <w:proofErr w:type="spellEnd"/>
      <w:r w:rsidR="00746EF3">
        <w:rPr>
          <w:sz w:val="20"/>
          <w:szCs w:val="20"/>
          <w:lang w:val="en-GB"/>
        </w:rPr>
        <w:t xml:space="preserve"> engagement</w:t>
      </w:r>
      <w:r w:rsidR="009821B1">
        <w:rPr>
          <w:sz w:val="20"/>
          <w:szCs w:val="20"/>
          <w:lang w:val="en-GB"/>
        </w:rPr>
        <w:t>, etc</w:t>
      </w:r>
      <w:r w:rsidR="00746EF3">
        <w:rPr>
          <w:sz w:val="20"/>
          <w:szCs w:val="20"/>
          <w:lang w:val="en-GB"/>
        </w:rPr>
        <w:t xml:space="preserve">. </w:t>
      </w:r>
      <w:r w:rsidR="009821B1">
        <w:rPr>
          <w:sz w:val="20"/>
          <w:szCs w:val="20"/>
          <w:lang w:val="en-GB"/>
        </w:rPr>
        <w:t xml:space="preserve">The consultant should also draw </w:t>
      </w:r>
      <w:r>
        <w:rPr>
          <w:sz w:val="20"/>
          <w:szCs w:val="20"/>
          <w:lang w:val="en-GB"/>
        </w:rPr>
        <w:t xml:space="preserve">on experiences from other countries such as India. </w:t>
      </w:r>
    </w:p>
    <w:p w14:paraId="469E4828" w14:textId="77777777" w:rsidR="009821B1" w:rsidRDefault="009821B1" w:rsidP="006E1CAA">
      <w:pPr>
        <w:pStyle w:val="ListParagraph"/>
        <w:rPr>
          <w:sz w:val="20"/>
          <w:szCs w:val="20"/>
          <w:lang w:val="en-GB"/>
        </w:rPr>
      </w:pPr>
    </w:p>
    <w:p w14:paraId="57C809CC" w14:textId="29412D3E" w:rsidR="004122A2" w:rsidRPr="000D62DC" w:rsidRDefault="002A33C3" w:rsidP="006E1CAA">
      <w:pPr>
        <w:pStyle w:val="ListParagraph"/>
        <w:rPr>
          <w:b/>
          <w:bCs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current thinking </w:t>
      </w:r>
      <w:r w:rsidR="006E1CAA">
        <w:rPr>
          <w:sz w:val="20"/>
          <w:szCs w:val="20"/>
          <w:lang w:val="en-GB"/>
        </w:rPr>
        <w:t xml:space="preserve">about the value chain </w:t>
      </w:r>
      <w:proofErr w:type="gramStart"/>
      <w:r>
        <w:rPr>
          <w:sz w:val="20"/>
          <w:szCs w:val="20"/>
          <w:lang w:val="en-GB"/>
        </w:rPr>
        <w:t>is</w:t>
      </w:r>
      <w:r w:rsidR="003A3627">
        <w:rPr>
          <w:sz w:val="20"/>
          <w:szCs w:val="20"/>
          <w:lang w:val="en-GB"/>
        </w:rPr>
        <w:t>:</w:t>
      </w:r>
      <w:proofErr w:type="gramEnd"/>
      <w:r>
        <w:rPr>
          <w:sz w:val="20"/>
          <w:szCs w:val="20"/>
          <w:lang w:val="en-GB"/>
        </w:rPr>
        <w:t xml:space="preserve"> farmers collect and dry the </w:t>
      </w:r>
      <w:r w:rsidR="00C95D95">
        <w:rPr>
          <w:sz w:val="20"/>
          <w:szCs w:val="20"/>
          <w:lang w:val="en-GB"/>
        </w:rPr>
        <w:t>bio-fertilizer. Aggr</w:t>
      </w:r>
      <w:r w:rsidR="009558DF">
        <w:rPr>
          <w:sz w:val="20"/>
          <w:szCs w:val="20"/>
          <w:lang w:val="en-GB"/>
        </w:rPr>
        <w:t>e</w:t>
      </w:r>
      <w:r w:rsidR="00C95D95">
        <w:rPr>
          <w:sz w:val="20"/>
          <w:szCs w:val="20"/>
          <w:lang w:val="en-GB"/>
        </w:rPr>
        <w:t>gators -currently though</w:t>
      </w:r>
      <w:r w:rsidR="00AF4525">
        <w:rPr>
          <w:sz w:val="20"/>
          <w:szCs w:val="20"/>
          <w:lang w:val="en-GB"/>
        </w:rPr>
        <w:t>t</w:t>
      </w:r>
      <w:r w:rsidR="00C95D95">
        <w:rPr>
          <w:sz w:val="20"/>
          <w:szCs w:val="20"/>
          <w:lang w:val="en-GB"/>
        </w:rPr>
        <w:t xml:space="preserve"> to be the same masons that construct the digesters</w:t>
      </w:r>
      <w:r w:rsidR="009558DF">
        <w:rPr>
          <w:sz w:val="20"/>
          <w:szCs w:val="20"/>
          <w:lang w:val="en-GB"/>
        </w:rPr>
        <w:t xml:space="preserve">- collect from </w:t>
      </w:r>
      <w:r w:rsidR="007D03AB">
        <w:rPr>
          <w:sz w:val="20"/>
          <w:szCs w:val="20"/>
          <w:lang w:val="en-GB"/>
        </w:rPr>
        <w:t xml:space="preserve">around 5-10 </w:t>
      </w:r>
      <w:r w:rsidR="009558DF">
        <w:rPr>
          <w:sz w:val="20"/>
          <w:szCs w:val="20"/>
          <w:lang w:val="en-GB"/>
        </w:rPr>
        <w:t>producers and deliver to a point of sale. Buyers</w:t>
      </w:r>
      <w:r w:rsidR="00EE3297">
        <w:rPr>
          <w:sz w:val="20"/>
          <w:szCs w:val="20"/>
          <w:lang w:val="en-GB"/>
        </w:rPr>
        <w:t xml:space="preserve"> come to this point of sale</w:t>
      </w:r>
      <w:r w:rsidR="004B4EF9">
        <w:rPr>
          <w:sz w:val="20"/>
          <w:szCs w:val="20"/>
          <w:lang w:val="en-GB"/>
        </w:rPr>
        <w:t>.</w:t>
      </w:r>
      <w:r w:rsidR="00A54F6C">
        <w:rPr>
          <w:sz w:val="20"/>
          <w:szCs w:val="20"/>
          <w:lang w:val="en-GB"/>
        </w:rPr>
        <w:t xml:space="preserve"> </w:t>
      </w:r>
    </w:p>
    <w:p w14:paraId="4A8CFA3F" w14:textId="3B95B6A4" w:rsidR="000D62DC" w:rsidRDefault="000D62DC" w:rsidP="000D62DC">
      <w:pPr>
        <w:rPr>
          <w:b/>
          <w:bCs/>
          <w:sz w:val="20"/>
          <w:szCs w:val="20"/>
          <w:lang w:val="en-GB"/>
        </w:rPr>
      </w:pPr>
    </w:p>
    <w:p w14:paraId="2CA2A415" w14:textId="43837BB3" w:rsidR="00AE67C7" w:rsidRDefault="0027105B" w:rsidP="000D62DC">
      <w:pPr>
        <w:ind w:left="70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 addition to appropriate value chain design, t</w:t>
      </w:r>
      <w:r w:rsidRPr="000D62DC">
        <w:rPr>
          <w:sz w:val="20"/>
          <w:szCs w:val="20"/>
          <w:lang w:val="en-GB"/>
        </w:rPr>
        <w:t xml:space="preserve">he </w:t>
      </w:r>
      <w:r w:rsidR="000D62DC" w:rsidRPr="000D62DC">
        <w:rPr>
          <w:sz w:val="20"/>
          <w:szCs w:val="20"/>
          <w:lang w:val="en-GB"/>
        </w:rPr>
        <w:t>roadmap should consider</w:t>
      </w:r>
      <w:r w:rsidR="000D62DC">
        <w:rPr>
          <w:sz w:val="20"/>
          <w:szCs w:val="20"/>
          <w:lang w:val="en-GB"/>
        </w:rPr>
        <w:t xml:space="preserve"> </w:t>
      </w:r>
      <w:r w:rsidR="00660C92">
        <w:rPr>
          <w:sz w:val="20"/>
          <w:szCs w:val="20"/>
          <w:lang w:val="en-GB"/>
        </w:rPr>
        <w:t>regulatory im</w:t>
      </w:r>
      <w:r>
        <w:rPr>
          <w:sz w:val="20"/>
          <w:szCs w:val="20"/>
          <w:lang w:val="en-GB"/>
        </w:rPr>
        <w:t xml:space="preserve">plications such </w:t>
      </w:r>
      <w:r w:rsidR="009821B1">
        <w:rPr>
          <w:sz w:val="20"/>
          <w:szCs w:val="20"/>
          <w:lang w:val="en-GB"/>
        </w:rPr>
        <w:t>as certification and labelling of the fertiliser</w:t>
      </w:r>
      <w:r w:rsidR="00AE67C7">
        <w:rPr>
          <w:sz w:val="20"/>
          <w:szCs w:val="20"/>
          <w:lang w:val="en-GB"/>
        </w:rPr>
        <w:t xml:space="preserve">. </w:t>
      </w:r>
    </w:p>
    <w:p w14:paraId="4605E883" w14:textId="77777777" w:rsidR="00AE67C7" w:rsidRDefault="00AE67C7" w:rsidP="000D62DC">
      <w:pPr>
        <w:ind w:left="708"/>
        <w:rPr>
          <w:sz w:val="20"/>
          <w:szCs w:val="20"/>
          <w:lang w:val="en-GB"/>
        </w:rPr>
      </w:pPr>
    </w:p>
    <w:p w14:paraId="798C82DF" w14:textId="262D5ECA" w:rsidR="000D62DC" w:rsidRPr="000D62DC" w:rsidRDefault="00AE67C7" w:rsidP="000D62DC">
      <w:pPr>
        <w:ind w:left="70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Furthermore, key value chain players need to be named, </w:t>
      </w:r>
      <w:r w:rsidR="000A324D">
        <w:rPr>
          <w:sz w:val="20"/>
          <w:szCs w:val="20"/>
          <w:lang w:val="en-GB"/>
        </w:rPr>
        <w:t xml:space="preserve">incl. </w:t>
      </w:r>
      <w:r w:rsidR="00006C6F">
        <w:rPr>
          <w:sz w:val="20"/>
          <w:szCs w:val="20"/>
          <w:lang w:val="en-GB"/>
        </w:rPr>
        <w:t>online retailers such as project partner AG1 Global and Griffin Services</w:t>
      </w:r>
      <w:r w:rsidR="00AF4525">
        <w:rPr>
          <w:sz w:val="20"/>
          <w:szCs w:val="20"/>
          <w:lang w:val="en-GB"/>
        </w:rPr>
        <w:t xml:space="preserve"> which also feature organic fertilizers and compost</w:t>
      </w:r>
      <w:r w:rsidR="00055722">
        <w:rPr>
          <w:sz w:val="20"/>
          <w:szCs w:val="20"/>
          <w:lang w:val="en-GB"/>
        </w:rPr>
        <w:t>. Their market shares are growing as more agriculturalists find their way on-line.</w:t>
      </w:r>
    </w:p>
    <w:p w14:paraId="64C60055" w14:textId="77777777" w:rsidR="00E57119" w:rsidRPr="004B2E35" w:rsidRDefault="00E57119" w:rsidP="00E57119">
      <w:pPr>
        <w:pStyle w:val="ListParagraph"/>
        <w:rPr>
          <w:b/>
          <w:bCs/>
          <w:sz w:val="20"/>
          <w:szCs w:val="20"/>
          <w:lang w:val="en-GB"/>
        </w:rPr>
      </w:pPr>
    </w:p>
    <w:p w14:paraId="108F1B97" w14:textId="77777777" w:rsidR="00E57119" w:rsidRPr="00E57119" w:rsidRDefault="00E57119" w:rsidP="00E57119">
      <w:pPr>
        <w:rPr>
          <w:sz w:val="20"/>
          <w:szCs w:val="20"/>
          <w:lang w:val="en-GB"/>
        </w:rPr>
      </w:pPr>
    </w:p>
    <w:p w14:paraId="46C4D6B4" w14:textId="4DFFFFFE" w:rsidR="00A15909" w:rsidRDefault="0024030A" w:rsidP="006936A0">
      <w:pPr>
        <w:pStyle w:val="ListParagraph"/>
        <w:numPr>
          <w:ilvl w:val="0"/>
          <w:numId w:val="4"/>
        </w:numPr>
        <w:rPr>
          <w:sz w:val="20"/>
          <w:szCs w:val="20"/>
          <w:lang w:val="en-GB"/>
        </w:rPr>
      </w:pPr>
      <w:r w:rsidRPr="009C7C3D">
        <w:rPr>
          <w:b/>
          <w:bCs/>
          <w:sz w:val="20"/>
          <w:szCs w:val="20"/>
          <w:lang w:val="en-GB"/>
        </w:rPr>
        <w:t>I</w:t>
      </w:r>
      <w:r w:rsidR="009C761F" w:rsidRPr="009C7C3D">
        <w:rPr>
          <w:b/>
          <w:bCs/>
          <w:sz w:val="20"/>
          <w:szCs w:val="20"/>
          <w:lang w:val="en-GB"/>
        </w:rPr>
        <w:t>nform the</w:t>
      </w:r>
      <w:r w:rsidR="009C761F" w:rsidRPr="0015799B">
        <w:rPr>
          <w:sz w:val="20"/>
          <w:szCs w:val="20"/>
          <w:lang w:val="en-GB"/>
        </w:rPr>
        <w:t xml:space="preserve"> </w:t>
      </w:r>
      <w:r w:rsidR="009C761F" w:rsidRPr="004B2E35">
        <w:rPr>
          <w:b/>
          <w:bCs/>
          <w:sz w:val="20"/>
          <w:szCs w:val="20"/>
          <w:lang w:val="en-GB"/>
        </w:rPr>
        <w:t xml:space="preserve">review of the </w:t>
      </w:r>
      <w:r w:rsidR="000A324D">
        <w:rPr>
          <w:b/>
          <w:bCs/>
          <w:sz w:val="20"/>
          <w:szCs w:val="20"/>
          <w:lang w:val="en-GB"/>
        </w:rPr>
        <w:t xml:space="preserve">INCREASE </w:t>
      </w:r>
      <w:r w:rsidR="004B2E35">
        <w:rPr>
          <w:b/>
          <w:bCs/>
          <w:sz w:val="20"/>
          <w:szCs w:val="20"/>
          <w:lang w:val="en-GB"/>
        </w:rPr>
        <w:t xml:space="preserve">project’s </w:t>
      </w:r>
      <w:r w:rsidR="009C761F" w:rsidRPr="004B2E35">
        <w:rPr>
          <w:b/>
          <w:bCs/>
          <w:sz w:val="20"/>
          <w:szCs w:val="20"/>
          <w:lang w:val="en-GB"/>
        </w:rPr>
        <w:t>incentive scheme for biodigesters</w:t>
      </w:r>
      <w:r>
        <w:rPr>
          <w:b/>
          <w:bCs/>
          <w:sz w:val="20"/>
          <w:szCs w:val="20"/>
          <w:lang w:val="en-GB"/>
        </w:rPr>
        <w:t xml:space="preserve">. </w:t>
      </w:r>
      <w:r w:rsidR="00412EA7">
        <w:rPr>
          <w:sz w:val="20"/>
          <w:szCs w:val="20"/>
          <w:lang w:val="en-GB"/>
        </w:rPr>
        <w:t xml:space="preserve">The project </w:t>
      </w:r>
      <w:r w:rsidR="009D1362">
        <w:rPr>
          <w:sz w:val="20"/>
          <w:szCs w:val="20"/>
          <w:lang w:val="en-GB"/>
        </w:rPr>
        <w:t>incentivizes farmers to switch to biodigester technology by covering a small percentage of construction costs.</w:t>
      </w:r>
      <w:r w:rsidR="00E5701D">
        <w:rPr>
          <w:sz w:val="20"/>
          <w:szCs w:val="20"/>
          <w:lang w:val="en-GB"/>
        </w:rPr>
        <w:t xml:space="preserve"> To </w:t>
      </w:r>
      <w:r w:rsidR="00375102">
        <w:rPr>
          <w:sz w:val="20"/>
          <w:szCs w:val="20"/>
          <w:lang w:val="en-GB"/>
        </w:rPr>
        <w:t>support</w:t>
      </w:r>
      <w:r w:rsidR="009D1362">
        <w:rPr>
          <w:sz w:val="20"/>
          <w:szCs w:val="20"/>
          <w:lang w:val="en-GB"/>
        </w:rPr>
        <w:t xml:space="preserve"> </w:t>
      </w:r>
      <w:r w:rsidR="00375102">
        <w:rPr>
          <w:sz w:val="20"/>
          <w:szCs w:val="20"/>
          <w:lang w:val="en-GB"/>
        </w:rPr>
        <w:t xml:space="preserve">the development of a market for a </w:t>
      </w:r>
      <w:proofErr w:type="spellStart"/>
      <w:r w:rsidR="00375102">
        <w:rPr>
          <w:sz w:val="20"/>
          <w:szCs w:val="20"/>
          <w:lang w:val="en-GB"/>
        </w:rPr>
        <w:t>bioslurry</w:t>
      </w:r>
      <w:proofErr w:type="spellEnd"/>
      <w:r w:rsidR="00375102">
        <w:rPr>
          <w:sz w:val="20"/>
          <w:szCs w:val="20"/>
          <w:lang w:val="en-GB"/>
        </w:rPr>
        <w:t xml:space="preserve">-based fertiliser, the incentive scheme requires a review to </w:t>
      </w:r>
      <w:r w:rsidR="00D8785D">
        <w:rPr>
          <w:sz w:val="20"/>
          <w:szCs w:val="20"/>
          <w:lang w:val="en-GB"/>
        </w:rPr>
        <w:t xml:space="preserve">potentially </w:t>
      </w:r>
      <w:r w:rsidR="00375102">
        <w:rPr>
          <w:sz w:val="20"/>
          <w:szCs w:val="20"/>
          <w:lang w:val="en-GB"/>
        </w:rPr>
        <w:t>incorporate a</w:t>
      </w:r>
      <w:r w:rsidR="00D8785D">
        <w:rPr>
          <w:sz w:val="20"/>
          <w:szCs w:val="20"/>
          <w:lang w:val="en-GB"/>
        </w:rPr>
        <w:t>n additional</w:t>
      </w:r>
      <w:r w:rsidR="00375102">
        <w:rPr>
          <w:sz w:val="20"/>
          <w:szCs w:val="20"/>
          <w:lang w:val="en-GB"/>
        </w:rPr>
        <w:t xml:space="preserve"> incentive for a </w:t>
      </w:r>
      <w:proofErr w:type="spellStart"/>
      <w:r w:rsidR="0058560C">
        <w:rPr>
          <w:sz w:val="20"/>
          <w:szCs w:val="20"/>
          <w:lang w:val="en-GB"/>
        </w:rPr>
        <w:t>bioslurry</w:t>
      </w:r>
      <w:proofErr w:type="spellEnd"/>
      <w:r w:rsidR="0058560C">
        <w:rPr>
          <w:sz w:val="20"/>
          <w:szCs w:val="20"/>
          <w:lang w:val="en-GB"/>
        </w:rPr>
        <w:t xml:space="preserve"> </w:t>
      </w:r>
      <w:r w:rsidR="00375102">
        <w:rPr>
          <w:sz w:val="20"/>
          <w:szCs w:val="20"/>
          <w:lang w:val="en-GB"/>
        </w:rPr>
        <w:t xml:space="preserve">product. </w:t>
      </w:r>
    </w:p>
    <w:p w14:paraId="086D96DA" w14:textId="77777777" w:rsidR="00A15909" w:rsidRPr="00A15909" w:rsidRDefault="00A15909" w:rsidP="00A15909">
      <w:pPr>
        <w:pStyle w:val="ListParagraph"/>
        <w:rPr>
          <w:sz w:val="20"/>
          <w:szCs w:val="20"/>
          <w:lang w:val="en-GB"/>
        </w:rPr>
      </w:pPr>
    </w:p>
    <w:p w14:paraId="0F340522" w14:textId="710C870A" w:rsidR="009C761F" w:rsidRPr="0015799B" w:rsidRDefault="00A06BA5" w:rsidP="00A15909">
      <w:pPr>
        <w:pStyle w:val="ListParagrap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Such an incentive </w:t>
      </w:r>
      <w:r w:rsidR="001E3AA9">
        <w:rPr>
          <w:sz w:val="20"/>
          <w:szCs w:val="20"/>
          <w:lang w:val="en-GB"/>
        </w:rPr>
        <w:t>c</w:t>
      </w:r>
      <w:r>
        <w:rPr>
          <w:sz w:val="20"/>
          <w:szCs w:val="20"/>
          <w:lang w:val="en-GB"/>
        </w:rPr>
        <w:t xml:space="preserve">ould kick-start the </w:t>
      </w:r>
      <w:r w:rsidR="00DB1AEE">
        <w:rPr>
          <w:sz w:val="20"/>
          <w:szCs w:val="20"/>
          <w:lang w:val="en-GB"/>
        </w:rPr>
        <w:t xml:space="preserve">commercialisation of </w:t>
      </w:r>
      <w:proofErr w:type="spellStart"/>
      <w:r w:rsidR="00DB1AEE">
        <w:rPr>
          <w:sz w:val="20"/>
          <w:szCs w:val="20"/>
          <w:lang w:val="en-GB"/>
        </w:rPr>
        <w:t>bioslurry</w:t>
      </w:r>
      <w:proofErr w:type="spellEnd"/>
      <w:r w:rsidR="00DB1AEE">
        <w:rPr>
          <w:sz w:val="20"/>
          <w:szCs w:val="20"/>
          <w:lang w:val="en-GB"/>
        </w:rPr>
        <w:t xml:space="preserve"> as an organic fertiliser</w:t>
      </w:r>
      <w:r w:rsidR="00AD419C">
        <w:rPr>
          <w:sz w:val="20"/>
          <w:szCs w:val="20"/>
          <w:lang w:val="en-GB"/>
        </w:rPr>
        <w:t xml:space="preserve"> and the consultant is expected to offer proposals and amend the existing or design a new incentive scheme to this end</w:t>
      </w:r>
      <w:r w:rsidR="00B90EF9">
        <w:rPr>
          <w:sz w:val="20"/>
          <w:szCs w:val="20"/>
          <w:lang w:val="en-GB"/>
        </w:rPr>
        <w:t xml:space="preserve">. </w:t>
      </w:r>
      <w:r w:rsidR="00AD419C">
        <w:rPr>
          <w:sz w:val="20"/>
          <w:szCs w:val="20"/>
          <w:lang w:val="en-GB"/>
        </w:rPr>
        <w:t xml:space="preserve">For example, a </w:t>
      </w:r>
      <w:r w:rsidR="0021697A">
        <w:rPr>
          <w:sz w:val="20"/>
          <w:szCs w:val="20"/>
          <w:lang w:val="en-GB"/>
        </w:rPr>
        <w:t>payment scheme</w:t>
      </w:r>
      <w:r w:rsidR="00771D1E">
        <w:rPr>
          <w:sz w:val="20"/>
          <w:szCs w:val="20"/>
          <w:lang w:val="en-GB"/>
        </w:rPr>
        <w:t xml:space="preserve"> can be</w:t>
      </w:r>
      <w:r w:rsidR="0021697A">
        <w:rPr>
          <w:sz w:val="20"/>
          <w:szCs w:val="20"/>
          <w:lang w:val="en-GB"/>
        </w:rPr>
        <w:t xml:space="preserve"> considered </w:t>
      </w:r>
      <w:r w:rsidR="00771D1E">
        <w:rPr>
          <w:sz w:val="20"/>
          <w:szCs w:val="20"/>
          <w:lang w:val="en-GB"/>
        </w:rPr>
        <w:t xml:space="preserve">where the incentive paid for </w:t>
      </w:r>
      <w:proofErr w:type="spellStart"/>
      <w:r w:rsidR="00771D1E">
        <w:rPr>
          <w:sz w:val="20"/>
          <w:szCs w:val="20"/>
          <w:lang w:val="en-GB"/>
        </w:rPr>
        <w:t>bioslurry</w:t>
      </w:r>
      <w:proofErr w:type="spellEnd"/>
      <w:r w:rsidR="00771D1E">
        <w:rPr>
          <w:sz w:val="20"/>
          <w:szCs w:val="20"/>
          <w:lang w:val="en-GB"/>
        </w:rPr>
        <w:t xml:space="preserve"> pays back an</w:t>
      </w:r>
      <w:r w:rsidR="00965DB6">
        <w:rPr>
          <w:sz w:val="20"/>
          <w:szCs w:val="20"/>
          <w:lang w:val="en-GB"/>
        </w:rPr>
        <w:t xml:space="preserve"> initial investment loan</w:t>
      </w:r>
      <w:r w:rsidR="0082015E">
        <w:rPr>
          <w:sz w:val="20"/>
          <w:szCs w:val="20"/>
          <w:lang w:val="en-GB"/>
        </w:rPr>
        <w:t xml:space="preserve">. </w:t>
      </w:r>
      <w:r w:rsidR="0006351E">
        <w:rPr>
          <w:sz w:val="20"/>
          <w:szCs w:val="20"/>
          <w:lang w:val="en-GB"/>
        </w:rPr>
        <w:t xml:space="preserve">An example is emerging from SNV’s Kenya project with </w:t>
      </w:r>
      <w:proofErr w:type="spellStart"/>
      <w:r w:rsidR="0006351E">
        <w:rPr>
          <w:sz w:val="20"/>
          <w:szCs w:val="20"/>
          <w:lang w:val="en-GB"/>
        </w:rPr>
        <w:t>Amiran</w:t>
      </w:r>
      <w:proofErr w:type="spellEnd"/>
      <w:r w:rsidR="0006351E">
        <w:rPr>
          <w:sz w:val="20"/>
          <w:szCs w:val="20"/>
          <w:lang w:val="en-GB"/>
        </w:rPr>
        <w:t xml:space="preserve">, who </w:t>
      </w:r>
      <w:r w:rsidR="00A02503">
        <w:rPr>
          <w:sz w:val="20"/>
          <w:szCs w:val="20"/>
          <w:lang w:val="en-GB"/>
        </w:rPr>
        <w:t xml:space="preserve">seem willing to pay </w:t>
      </w:r>
      <w:r w:rsidR="00B90EF9">
        <w:rPr>
          <w:sz w:val="20"/>
          <w:szCs w:val="20"/>
          <w:lang w:val="en-GB"/>
        </w:rPr>
        <w:t>bio</w:t>
      </w:r>
      <w:r w:rsidR="00A02503">
        <w:rPr>
          <w:sz w:val="20"/>
          <w:szCs w:val="20"/>
          <w:lang w:val="en-GB"/>
        </w:rPr>
        <w:t>digesters in advance on behalf of farmers</w:t>
      </w:r>
      <w:r w:rsidR="00243A39">
        <w:rPr>
          <w:sz w:val="20"/>
          <w:szCs w:val="20"/>
          <w:lang w:val="en-GB"/>
        </w:rPr>
        <w:t xml:space="preserve"> and recoup this investment upon </w:t>
      </w:r>
      <w:r w:rsidR="00B90EF9">
        <w:rPr>
          <w:sz w:val="20"/>
          <w:szCs w:val="20"/>
          <w:lang w:val="en-GB"/>
        </w:rPr>
        <w:t xml:space="preserve">the </w:t>
      </w:r>
      <w:r w:rsidR="00243A39">
        <w:rPr>
          <w:sz w:val="20"/>
          <w:szCs w:val="20"/>
          <w:lang w:val="en-GB"/>
        </w:rPr>
        <w:t>sale of vegetables.</w:t>
      </w:r>
    </w:p>
    <w:p w14:paraId="2A60FF6A" w14:textId="77777777" w:rsidR="009C761F" w:rsidRPr="0015799B" w:rsidRDefault="009C761F" w:rsidP="004122A2">
      <w:pPr>
        <w:pStyle w:val="ListParagraph"/>
        <w:rPr>
          <w:sz w:val="20"/>
          <w:szCs w:val="20"/>
          <w:lang w:val="en-GB"/>
        </w:rPr>
      </w:pPr>
    </w:p>
    <w:p w14:paraId="3A9D781B" w14:textId="5C8F64FB" w:rsidR="0062629E" w:rsidRPr="0015799B" w:rsidRDefault="0062629E" w:rsidP="00614F8F">
      <w:pPr>
        <w:pStyle w:val="Heading2"/>
        <w:rPr>
          <w:sz w:val="20"/>
          <w:szCs w:val="20"/>
          <w:lang w:val="en-GB"/>
        </w:rPr>
      </w:pPr>
      <w:r w:rsidRPr="0015799B">
        <w:rPr>
          <w:sz w:val="20"/>
          <w:szCs w:val="20"/>
          <w:lang w:val="en-GB"/>
        </w:rPr>
        <w:t>Scope of Work</w:t>
      </w:r>
    </w:p>
    <w:p w14:paraId="715CC87F" w14:textId="6A574654" w:rsidR="001F20CE" w:rsidRPr="0015799B" w:rsidRDefault="001F20CE" w:rsidP="00F92B4D">
      <w:pPr>
        <w:pStyle w:val="ListParagraph"/>
        <w:numPr>
          <w:ilvl w:val="0"/>
          <w:numId w:val="2"/>
        </w:numPr>
        <w:rPr>
          <w:sz w:val="20"/>
          <w:szCs w:val="20"/>
          <w:lang w:val="en-GB"/>
        </w:rPr>
      </w:pPr>
      <w:r w:rsidRPr="0015799B">
        <w:rPr>
          <w:sz w:val="20"/>
          <w:szCs w:val="20"/>
          <w:lang w:val="en-GB"/>
        </w:rPr>
        <w:t>Literature review</w:t>
      </w:r>
      <w:r w:rsidR="00EE68A3">
        <w:rPr>
          <w:sz w:val="20"/>
          <w:szCs w:val="20"/>
          <w:lang w:val="en-GB"/>
        </w:rPr>
        <w:t>. SNV literature will be provided by SNV. Further research should be conducted on</w:t>
      </w:r>
      <w:r w:rsidR="00AD6AC9">
        <w:rPr>
          <w:sz w:val="20"/>
          <w:szCs w:val="20"/>
          <w:lang w:val="en-GB"/>
        </w:rPr>
        <w:t>-line.</w:t>
      </w:r>
    </w:p>
    <w:p w14:paraId="00C0D65D" w14:textId="77777777" w:rsidR="00EF2AC5" w:rsidRPr="0015799B" w:rsidRDefault="00EF2AC5" w:rsidP="00EF2AC5">
      <w:pPr>
        <w:pStyle w:val="ListParagraph"/>
        <w:numPr>
          <w:ilvl w:val="0"/>
          <w:numId w:val="2"/>
        </w:numPr>
        <w:rPr>
          <w:sz w:val="20"/>
          <w:szCs w:val="20"/>
          <w:lang w:val="en-GB"/>
        </w:rPr>
      </w:pPr>
      <w:r w:rsidRPr="0015799B">
        <w:rPr>
          <w:sz w:val="20"/>
          <w:szCs w:val="20"/>
          <w:lang w:val="en-GB"/>
        </w:rPr>
        <w:t>Stakeholder consultation</w:t>
      </w:r>
    </w:p>
    <w:p w14:paraId="176D0F08" w14:textId="6DD2FA75" w:rsidR="009A0726" w:rsidRPr="0015799B" w:rsidRDefault="009A0726" w:rsidP="00F92B4D">
      <w:pPr>
        <w:pStyle w:val="ListParagraph"/>
        <w:numPr>
          <w:ilvl w:val="0"/>
          <w:numId w:val="2"/>
        </w:numPr>
        <w:rPr>
          <w:sz w:val="20"/>
          <w:szCs w:val="20"/>
          <w:lang w:val="en-GB"/>
        </w:rPr>
      </w:pPr>
      <w:r w:rsidRPr="0015799B">
        <w:rPr>
          <w:sz w:val="20"/>
          <w:szCs w:val="20"/>
          <w:lang w:val="en-GB"/>
        </w:rPr>
        <w:t>Market analysis</w:t>
      </w:r>
    </w:p>
    <w:p w14:paraId="665BA1E5" w14:textId="7D53F267" w:rsidR="009A0726" w:rsidRDefault="009A0726" w:rsidP="00F92B4D">
      <w:pPr>
        <w:pStyle w:val="ListParagraph"/>
        <w:numPr>
          <w:ilvl w:val="1"/>
          <w:numId w:val="2"/>
        </w:numPr>
        <w:rPr>
          <w:sz w:val="20"/>
          <w:szCs w:val="20"/>
          <w:lang w:val="en-GB"/>
        </w:rPr>
      </w:pPr>
      <w:r w:rsidRPr="0015799B">
        <w:rPr>
          <w:sz w:val="20"/>
          <w:szCs w:val="20"/>
          <w:lang w:val="en-GB"/>
        </w:rPr>
        <w:t xml:space="preserve">detailed review of available </w:t>
      </w:r>
      <w:r w:rsidR="00862B9B">
        <w:rPr>
          <w:sz w:val="20"/>
          <w:szCs w:val="20"/>
          <w:lang w:val="en-GB"/>
        </w:rPr>
        <w:t xml:space="preserve">organic </w:t>
      </w:r>
      <w:r w:rsidR="00862B9B" w:rsidRPr="0015799B">
        <w:rPr>
          <w:sz w:val="20"/>
          <w:szCs w:val="20"/>
          <w:lang w:val="en-GB"/>
        </w:rPr>
        <w:t xml:space="preserve">fertilizer </w:t>
      </w:r>
      <w:r w:rsidRPr="0015799B">
        <w:rPr>
          <w:sz w:val="20"/>
          <w:szCs w:val="20"/>
          <w:lang w:val="en-GB"/>
        </w:rPr>
        <w:t>products, market players, value chain</w:t>
      </w:r>
      <w:r w:rsidR="00AD6AC9">
        <w:rPr>
          <w:sz w:val="20"/>
          <w:szCs w:val="20"/>
          <w:lang w:val="en-GB"/>
        </w:rPr>
        <w:t xml:space="preserve"> structure</w:t>
      </w:r>
      <w:r w:rsidRPr="0015799B">
        <w:rPr>
          <w:sz w:val="20"/>
          <w:szCs w:val="20"/>
          <w:lang w:val="en-GB"/>
        </w:rPr>
        <w:t>, customer base, pricing structure</w:t>
      </w:r>
    </w:p>
    <w:p w14:paraId="10F4E5FA" w14:textId="68A344A5" w:rsidR="00CB53E2" w:rsidRPr="0015799B" w:rsidRDefault="00CB53E2" w:rsidP="00F92B4D">
      <w:pPr>
        <w:pStyle w:val="ListParagraph"/>
        <w:numPr>
          <w:ilvl w:val="1"/>
          <w:numId w:val="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overview of enabling environment for organic fertilisers</w:t>
      </w:r>
    </w:p>
    <w:p w14:paraId="38B91029" w14:textId="148BF037" w:rsidR="0051378E" w:rsidRPr="0015799B" w:rsidRDefault="0051378E" w:rsidP="00F92B4D">
      <w:pPr>
        <w:pStyle w:val="ListParagraph"/>
        <w:numPr>
          <w:ilvl w:val="1"/>
          <w:numId w:val="2"/>
        </w:numPr>
        <w:rPr>
          <w:sz w:val="20"/>
          <w:szCs w:val="20"/>
          <w:lang w:val="en-GB"/>
        </w:rPr>
      </w:pPr>
      <w:r w:rsidRPr="0015799B">
        <w:rPr>
          <w:sz w:val="20"/>
          <w:szCs w:val="20"/>
          <w:lang w:val="en-GB"/>
        </w:rPr>
        <w:t>market sizing of potential bioslurry production and conversion to biofertilizer product(s)</w:t>
      </w:r>
    </w:p>
    <w:p w14:paraId="03FBA775" w14:textId="77777777" w:rsidR="00523C42" w:rsidRDefault="00523C42" w:rsidP="00523C42">
      <w:pPr>
        <w:pStyle w:val="ListParagraph"/>
        <w:numPr>
          <w:ilvl w:val="1"/>
          <w:numId w:val="2"/>
        </w:numPr>
        <w:rPr>
          <w:sz w:val="20"/>
          <w:szCs w:val="20"/>
          <w:lang w:val="en-GB"/>
        </w:rPr>
      </w:pPr>
      <w:r w:rsidRPr="0015799B">
        <w:rPr>
          <w:sz w:val="20"/>
          <w:szCs w:val="20"/>
          <w:lang w:val="en-GB"/>
        </w:rPr>
        <w:t xml:space="preserve">price benchmarking </w:t>
      </w:r>
      <w:r>
        <w:rPr>
          <w:sz w:val="20"/>
          <w:szCs w:val="20"/>
          <w:lang w:val="en-GB"/>
        </w:rPr>
        <w:t xml:space="preserve">and cost benefit analysis </w:t>
      </w:r>
      <w:r w:rsidRPr="0015799B">
        <w:rPr>
          <w:sz w:val="20"/>
          <w:szCs w:val="20"/>
          <w:lang w:val="en-GB"/>
        </w:rPr>
        <w:t xml:space="preserve">against existing products, incl. </w:t>
      </w:r>
      <w:r>
        <w:rPr>
          <w:sz w:val="20"/>
          <w:szCs w:val="20"/>
          <w:lang w:val="en-GB"/>
        </w:rPr>
        <w:t xml:space="preserve">mineral </w:t>
      </w:r>
      <w:r w:rsidRPr="0015799B">
        <w:rPr>
          <w:sz w:val="20"/>
          <w:szCs w:val="20"/>
          <w:lang w:val="en-GB"/>
        </w:rPr>
        <w:t>fertilisers</w:t>
      </w:r>
    </w:p>
    <w:p w14:paraId="5B26B710" w14:textId="486F46DA" w:rsidR="009A0726" w:rsidRPr="0015799B" w:rsidRDefault="009A0726" w:rsidP="00F92B4D">
      <w:pPr>
        <w:pStyle w:val="ListParagraph"/>
        <w:numPr>
          <w:ilvl w:val="1"/>
          <w:numId w:val="2"/>
        </w:numPr>
        <w:rPr>
          <w:sz w:val="20"/>
          <w:szCs w:val="20"/>
          <w:lang w:val="en-GB"/>
        </w:rPr>
      </w:pPr>
      <w:r w:rsidRPr="0015799B">
        <w:rPr>
          <w:sz w:val="20"/>
          <w:szCs w:val="20"/>
          <w:lang w:val="en-GB"/>
        </w:rPr>
        <w:t>market sizing based on potential customer base, incl. identification of potential offtakers for a bioslurry-based fertiliser product</w:t>
      </w:r>
    </w:p>
    <w:p w14:paraId="3BA07EEF" w14:textId="56A50544" w:rsidR="00107AA5" w:rsidRDefault="00107AA5" w:rsidP="00F92B4D">
      <w:pPr>
        <w:pStyle w:val="ListParagraph"/>
        <w:numPr>
          <w:ilvl w:val="1"/>
          <w:numId w:val="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detailed roadmap for </w:t>
      </w:r>
      <w:proofErr w:type="spellStart"/>
      <w:r>
        <w:rPr>
          <w:sz w:val="20"/>
          <w:szCs w:val="20"/>
          <w:lang w:val="en-GB"/>
        </w:rPr>
        <w:t>bioslurry</w:t>
      </w:r>
      <w:proofErr w:type="spellEnd"/>
      <w:r>
        <w:rPr>
          <w:sz w:val="20"/>
          <w:szCs w:val="20"/>
          <w:lang w:val="en-GB"/>
        </w:rPr>
        <w:t>-based fertiliser product development</w:t>
      </w:r>
    </w:p>
    <w:p w14:paraId="0CAB5B86" w14:textId="46101D8F" w:rsidR="00075B01" w:rsidRPr="0015799B" w:rsidRDefault="00075B01" w:rsidP="00F92B4D">
      <w:pPr>
        <w:pStyle w:val="ListParagraph"/>
        <w:numPr>
          <w:ilvl w:val="1"/>
          <w:numId w:val="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lastRenderedPageBreak/>
        <w:t xml:space="preserve">proposed incentive scheme design </w:t>
      </w:r>
      <w:r w:rsidR="00523C42">
        <w:rPr>
          <w:sz w:val="20"/>
          <w:szCs w:val="20"/>
          <w:lang w:val="en-GB"/>
        </w:rPr>
        <w:t xml:space="preserve">to kickstart the market for </w:t>
      </w:r>
      <w:r w:rsidR="00107AA5">
        <w:rPr>
          <w:sz w:val="20"/>
          <w:szCs w:val="20"/>
          <w:lang w:val="en-GB"/>
        </w:rPr>
        <w:t xml:space="preserve">a </w:t>
      </w:r>
      <w:proofErr w:type="spellStart"/>
      <w:r w:rsidR="00523C42">
        <w:rPr>
          <w:sz w:val="20"/>
          <w:szCs w:val="20"/>
          <w:lang w:val="en-GB"/>
        </w:rPr>
        <w:t>bioslurry</w:t>
      </w:r>
      <w:proofErr w:type="spellEnd"/>
      <w:r w:rsidR="00523C42">
        <w:rPr>
          <w:sz w:val="20"/>
          <w:szCs w:val="20"/>
          <w:lang w:val="en-GB"/>
        </w:rPr>
        <w:t xml:space="preserve">-based </w:t>
      </w:r>
      <w:r w:rsidR="00107AA5">
        <w:rPr>
          <w:sz w:val="20"/>
          <w:szCs w:val="20"/>
          <w:lang w:val="en-GB"/>
        </w:rPr>
        <w:t>fertiliser product</w:t>
      </w:r>
    </w:p>
    <w:p w14:paraId="79A6824A" w14:textId="77777777" w:rsidR="007577EF" w:rsidRPr="0015799B" w:rsidRDefault="0051378E" w:rsidP="00F92B4D">
      <w:pPr>
        <w:pStyle w:val="ListParagraph"/>
        <w:numPr>
          <w:ilvl w:val="0"/>
          <w:numId w:val="2"/>
        </w:numPr>
        <w:rPr>
          <w:sz w:val="20"/>
          <w:szCs w:val="20"/>
          <w:lang w:val="en-GB"/>
        </w:rPr>
      </w:pPr>
      <w:r w:rsidRPr="0015799B">
        <w:rPr>
          <w:sz w:val="20"/>
          <w:szCs w:val="20"/>
          <w:lang w:val="en-GB"/>
        </w:rPr>
        <w:t xml:space="preserve">Recommendations to the project on </w:t>
      </w:r>
    </w:p>
    <w:p w14:paraId="06AB34BB" w14:textId="7719CF6C" w:rsidR="007577EF" w:rsidRPr="0015799B" w:rsidRDefault="00EF2AC5" w:rsidP="00F92B4D">
      <w:pPr>
        <w:pStyle w:val="ListParagraph"/>
        <w:numPr>
          <w:ilvl w:val="1"/>
          <w:numId w:val="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roadmap for </w:t>
      </w:r>
      <w:proofErr w:type="spellStart"/>
      <w:r w:rsidR="007577EF" w:rsidRPr="0015799B">
        <w:rPr>
          <w:sz w:val="20"/>
          <w:szCs w:val="20"/>
          <w:lang w:val="en-GB"/>
        </w:rPr>
        <w:t>bioslurry</w:t>
      </w:r>
      <w:proofErr w:type="spellEnd"/>
      <w:r w:rsidR="007577EF" w:rsidRPr="0015799B">
        <w:rPr>
          <w:sz w:val="20"/>
          <w:szCs w:val="20"/>
          <w:lang w:val="en-GB"/>
        </w:rPr>
        <w:t>-based fertiliser production and commercialisation strategy</w:t>
      </w:r>
    </w:p>
    <w:p w14:paraId="0A392E21" w14:textId="58292EF7" w:rsidR="007577EF" w:rsidRPr="0015799B" w:rsidRDefault="007577EF" w:rsidP="00F92B4D">
      <w:pPr>
        <w:pStyle w:val="ListParagraph"/>
        <w:numPr>
          <w:ilvl w:val="1"/>
          <w:numId w:val="2"/>
        </w:numPr>
        <w:rPr>
          <w:sz w:val="20"/>
          <w:szCs w:val="20"/>
          <w:lang w:val="en-GB"/>
        </w:rPr>
      </w:pPr>
      <w:r w:rsidRPr="0015799B">
        <w:rPr>
          <w:sz w:val="20"/>
          <w:szCs w:val="20"/>
          <w:lang w:val="en-GB"/>
        </w:rPr>
        <w:t>potential private sector partners</w:t>
      </w:r>
    </w:p>
    <w:p w14:paraId="6302F84D" w14:textId="73B40D69" w:rsidR="007A6A17" w:rsidRPr="00DC1F42" w:rsidRDefault="0051378E">
      <w:pPr>
        <w:pStyle w:val="ListParagraph"/>
        <w:numPr>
          <w:ilvl w:val="1"/>
          <w:numId w:val="2"/>
        </w:numPr>
        <w:rPr>
          <w:sz w:val="20"/>
          <w:szCs w:val="20"/>
          <w:lang w:val="en-GB"/>
        </w:rPr>
      </w:pPr>
      <w:r w:rsidRPr="00DC1F42">
        <w:rPr>
          <w:sz w:val="20"/>
          <w:szCs w:val="20"/>
          <w:lang w:val="en-GB"/>
        </w:rPr>
        <w:t xml:space="preserve">incentive scheme </w:t>
      </w:r>
      <w:r w:rsidR="007577EF" w:rsidRPr="00DC1F42">
        <w:rPr>
          <w:sz w:val="20"/>
          <w:szCs w:val="20"/>
          <w:lang w:val="en-GB"/>
        </w:rPr>
        <w:t xml:space="preserve">design </w:t>
      </w:r>
      <w:r w:rsidRPr="00DC1F42">
        <w:rPr>
          <w:sz w:val="20"/>
          <w:szCs w:val="20"/>
          <w:lang w:val="en-GB"/>
        </w:rPr>
        <w:t xml:space="preserve">to </w:t>
      </w:r>
      <w:r w:rsidR="00452879">
        <w:rPr>
          <w:sz w:val="20"/>
          <w:szCs w:val="20"/>
          <w:lang w:val="en-GB"/>
        </w:rPr>
        <w:t>kick start a</w:t>
      </w:r>
      <w:r w:rsidRPr="00DC1F42">
        <w:rPr>
          <w:sz w:val="20"/>
          <w:szCs w:val="20"/>
          <w:lang w:val="en-GB"/>
        </w:rPr>
        <w:t xml:space="preserve"> </w:t>
      </w:r>
      <w:proofErr w:type="spellStart"/>
      <w:r w:rsidRPr="00DC1F42">
        <w:rPr>
          <w:sz w:val="20"/>
          <w:szCs w:val="20"/>
          <w:lang w:val="en-GB"/>
        </w:rPr>
        <w:t>bioslurry</w:t>
      </w:r>
      <w:proofErr w:type="spellEnd"/>
      <w:r w:rsidRPr="00DC1F42">
        <w:rPr>
          <w:sz w:val="20"/>
          <w:szCs w:val="20"/>
          <w:lang w:val="en-GB"/>
        </w:rPr>
        <w:t xml:space="preserve"> </w:t>
      </w:r>
      <w:r w:rsidR="00452879">
        <w:rPr>
          <w:sz w:val="20"/>
          <w:szCs w:val="20"/>
          <w:lang w:val="en-GB"/>
        </w:rPr>
        <w:t xml:space="preserve">based </w:t>
      </w:r>
      <w:r w:rsidRPr="00DC1F42">
        <w:rPr>
          <w:sz w:val="20"/>
          <w:szCs w:val="20"/>
          <w:lang w:val="en-GB"/>
        </w:rPr>
        <w:t>product</w:t>
      </w:r>
    </w:p>
    <w:p w14:paraId="70EC11EF" w14:textId="0744D8E0" w:rsidR="00DB003E" w:rsidRPr="009C7C3D" w:rsidRDefault="009A1262">
      <w:pPr>
        <w:pStyle w:val="ListParagraph"/>
        <w:numPr>
          <w:ilvl w:val="1"/>
          <w:numId w:val="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potential for bio-slurry to assist in financing </w:t>
      </w:r>
      <w:r w:rsidR="0006351E" w:rsidRPr="009C7C3D">
        <w:rPr>
          <w:sz w:val="20"/>
          <w:szCs w:val="20"/>
          <w:lang w:val="en-GB"/>
        </w:rPr>
        <w:t>biodigester construction</w:t>
      </w:r>
    </w:p>
    <w:p w14:paraId="7A0984B9" w14:textId="77777777" w:rsidR="00BC6CDF" w:rsidRPr="00A732A3" w:rsidRDefault="00BC6CDF" w:rsidP="00BC6CDF">
      <w:pPr>
        <w:spacing w:line="240" w:lineRule="auto"/>
        <w:rPr>
          <w:b/>
          <w:color w:val="4F81BD"/>
          <w:sz w:val="20"/>
          <w:szCs w:val="20"/>
        </w:rPr>
      </w:pPr>
    </w:p>
    <w:p w14:paraId="46C94467" w14:textId="723518E9" w:rsidR="00BC6CDF" w:rsidRPr="0015799B" w:rsidRDefault="00BC6CDF" w:rsidP="0015799B">
      <w:pPr>
        <w:spacing w:line="240" w:lineRule="auto"/>
        <w:rPr>
          <w:bCs/>
          <w:color w:val="4F81BD"/>
          <w:sz w:val="20"/>
          <w:szCs w:val="20"/>
        </w:rPr>
      </w:pPr>
      <w:r w:rsidRPr="0015799B">
        <w:rPr>
          <w:bCs/>
          <w:color w:val="4F81BD"/>
          <w:sz w:val="20"/>
          <w:szCs w:val="20"/>
        </w:rPr>
        <w:t>Expected Outputs and Deliverables</w:t>
      </w:r>
    </w:p>
    <w:p w14:paraId="3251F311" w14:textId="77777777" w:rsidR="00BC6CDF" w:rsidRPr="00714964" w:rsidRDefault="00BC6CDF" w:rsidP="00BC6CDF">
      <w:pPr>
        <w:rPr>
          <w:bCs/>
          <w:sz w:val="20"/>
          <w:szCs w:val="20"/>
        </w:rPr>
      </w:pPr>
    </w:p>
    <w:p w14:paraId="0CE6B03D" w14:textId="19350EF1" w:rsidR="00BC6CDF" w:rsidRPr="00E91A66" w:rsidRDefault="00BC6CDF" w:rsidP="00BC6CDF">
      <w:pPr>
        <w:rPr>
          <w:sz w:val="20"/>
          <w:szCs w:val="20"/>
          <w:lang w:val="en-GB"/>
        </w:rPr>
      </w:pPr>
      <w:r w:rsidRPr="00E91A66">
        <w:rPr>
          <w:sz w:val="20"/>
          <w:szCs w:val="20"/>
          <w:lang w:val="en-GB"/>
        </w:rPr>
        <w:t xml:space="preserve">The main output of the assignment will be </w:t>
      </w:r>
      <w:r w:rsidR="00B45D15" w:rsidRPr="00E91A66">
        <w:rPr>
          <w:sz w:val="20"/>
          <w:szCs w:val="20"/>
          <w:lang w:val="en-GB"/>
        </w:rPr>
        <w:t xml:space="preserve">a </w:t>
      </w:r>
      <w:proofErr w:type="spellStart"/>
      <w:r w:rsidRPr="0015799B">
        <w:rPr>
          <w:sz w:val="20"/>
          <w:szCs w:val="20"/>
          <w:lang w:val="en-GB"/>
        </w:rPr>
        <w:t>Biofertiliser</w:t>
      </w:r>
      <w:proofErr w:type="spellEnd"/>
      <w:r w:rsidRPr="0015799B">
        <w:rPr>
          <w:sz w:val="20"/>
          <w:szCs w:val="20"/>
          <w:lang w:val="en-GB"/>
        </w:rPr>
        <w:t xml:space="preserve"> Market Assessment report</w:t>
      </w:r>
      <w:r w:rsidRPr="00E91A66">
        <w:rPr>
          <w:sz w:val="20"/>
          <w:szCs w:val="20"/>
          <w:lang w:val="en-GB"/>
        </w:rPr>
        <w:t>.</w:t>
      </w:r>
    </w:p>
    <w:p w14:paraId="0903DE91" w14:textId="77777777" w:rsidR="00BC6CDF" w:rsidRPr="00A732A3" w:rsidRDefault="00BC6CDF" w:rsidP="00BC6CDF">
      <w:pPr>
        <w:rPr>
          <w:sz w:val="20"/>
          <w:szCs w:val="20"/>
          <w:lang w:val="en-GB"/>
        </w:rPr>
      </w:pPr>
    </w:p>
    <w:p w14:paraId="17C857E8" w14:textId="7D59345A" w:rsidR="00BC6CDF" w:rsidRPr="00123494" w:rsidRDefault="00BC6CDF" w:rsidP="00BC6CDF">
      <w:pPr>
        <w:rPr>
          <w:sz w:val="20"/>
          <w:szCs w:val="20"/>
          <w:lang w:val="en-GB"/>
        </w:rPr>
      </w:pPr>
      <w:r w:rsidRPr="00A732A3">
        <w:rPr>
          <w:sz w:val="20"/>
          <w:szCs w:val="20"/>
          <w:lang w:val="en-GB"/>
        </w:rPr>
        <w:t xml:space="preserve">The main </w:t>
      </w:r>
      <w:r w:rsidR="00123494">
        <w:rPr>
          <w:sz w:val="20"/>
          <w:szCs w:val="20"/>
          <w:lang w:val="en-GB"/>
        </w:rPr>
        <w:t>deliverables</w:t>
      </w:r>
      <w:r w:rsidRPr="00123494">
        <w:rPr>
          <w:sz w:val="20"/>
          <w:szCs w:val="20"/>
          <w:lang w:val="en-GB"/>
        </w:rPr>
        <w:t xml:space="preserve"> of the assignment </w:t>
      </w:r>
      <w:r w:rsidR="00123494">
        <w:rPr>
          <w:sz w:val="20"/>
          <w:szCs w:val="20"/>
          <w:lang w:val="en-GB"/>
        </w:rPr>
        <w:t>are as follows</w:t>
      </w:r>
      <w:r w:rsidRPr="00123494">
        <w:rPr>
          <w:sz w:val="20"/>
          <w:szCs w:val="20"/>
          <w:lang w:val="en-GB"/>
        </w:rPr>
        <w:t>: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709"/>
        <w:gridCol w:w="6232"/>
        <w:gridCol w:w="2977"/>
      </w:tblGrid>
      <w:tr w:rsidR="00BC6CDF" w:rsidRPr="0015799B" w14:paraId="6DBB447C" w14:textId="77777777" w:rsidTr="00EF588A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2E8D" w14:textId="77777777" w:rsidR="00BC6CDF" w:rsidRPr="0015799B" w:rsidRDefault="00BC6CDF" w:rsidP="00B22E71">
            <w:pPr>
              <w:rPr>
                <w:color w:val="002060"/>
                <w:sz w:val="20"/>
                <w:szCs w:val="20"/>
                <w:lang w:val="en-GB"/>
              </w:rPr>
            </w:pPr>
            <w:r w:rsidRPr="0015799B">
              <w:rPr>
                <w:color w:val="002060"/>
                <w:sz w:val="20"/>
                <w:szCs w:val="20"/>
                <w:lang w:val="en-GB"/>
              </w:rPr>
              <w:t>No.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DE2C" w14:textId="77777777" w:rsidR="00BC6CDF" w:rsidRPr="0015799B" w:rsidRDefault="00BC6CDF" w:rsidP="00B22E71">
            <w:pPr>
              <w:rPr>
                <w:color w:val="002060"/>
                <w:sz w:val="20"/>
                <w:szCs w:val="20"/>
                <w:lang w:val="en-GB"/>
              </w:rPr>
            </w:pPr>
            <w:r w:rsidRPr="0015799B">
              <w:rPr>
                <w:color w:val="002060"/>
                <w:sz w:val="20"/>
                <w:szCs w:val="20"/>
                <w:lang w:val="en-GB"/>
              </w:rPr>
              <w:t>Deliverables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F6B4" w14:textId="77777777" w:rsidR="00BC6CDF" w:rsidRPr="0015799B" w:rsidRDefault="00BC6CDF" w:rsidP="00B22E71">
            <w:pPr>
              <w:rPr>
                <w:color w:val="002060"/>
                <w:sz w:val="20"/>
                <w:szCs w:val="20"/>
                <w:lang w:val="en-GB"/>
              </w:rPr>
            </w:pPr>
            <w:r w:rsidRPr="0015799B">
              <w:rPr>
                <w:color w:val="002060"/>
                <w:sz w:val="20"/>
                <w:szCs w:val="20"/>
                <w:lang w:val="en-GB"/>
              </w:rPr>
              <w:t>Expected Completion Date</w:t>
            </w:r>
          </w:p>
        </w:tc>
      </w:tr>
      <w:tr w:rsidR="00BC6CDF" w:rsidRPr="00E91A66" w14:paraId="0EDF57C9" w14:textId="77777777" w:rsidTr="00EF588A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34DE" w14:textId="77777777" w:rsidR="00BC6CDF" w:rsidRPr="0015799B" w:rsidRDefault="00BC6CDF" w:rsidP="00B22E71">
            <w:pPr>
              <w:rPr>
                <w:color w:val="002060"/>
                <w:sz w:val="20"/>
                <w:szCs w:val="20"/>
                <w:lang w:val="en-GB"/>
              </w:rPr>
            </w:pPr>
            <w:r w:rsidRPr="0015799B">
              <w:rPr>
                <w:color w:val="002060"/>
                <w:sz w:val="20"/>
                <w:szCs w:val="20"/>
                <w:lang w:val="en-GB"/>
              </w:rPr>
              <w:t>1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C112C" w14:textId="4E3A3C68" w:rsidR="00BC6CDF" w:rsidRPr="0015799B" w:rsidRDefault="00F31981" w:rsidP="00B22E71">
            <w:pPr>
              <w:rPr>
                <w:color w:val="002060"/>
                <w:sz w:val="20"/>
                <w:szCs w:val="20"/>
                <w:lang w:val="en-GB"/>
              </w:rPr>
            </w:pPr>
            <w:r>
              <w:rPr>
                <w:color w:val="002060"/>
                <w:sz w:val="20"/>
                <w:szCs w:val="20"/>
                <w:lang w:val="en-GB"/>
              </w:rPr>
              <w:t xml:space="preserve">Draft and final </w:t>
            </w:r>
            <w:proofErr w:type="spellStart"/>
            <w:r w:rsidR="00BC6CDF" w:rsidRPr="0015799B">
              <w:rPr>
                <w:color w:val="002060"/>
                <w:sz w:val="20"/>
                <w:szCs w:val="20"/>
                <w:lang w:val="en-GB"/>
              </w:rPr>
              <w:t>nception</w:t>
            </w:r>
            <w:proofErr w:type="spellEnd"/>
            <w:r w:rsidR="00BC6CDF" w:rsidRPr="0015799B">
              <w:rPr>
                <w:color w:val="002060"/>
                <w:sz w:val="20"/>
                <w:szCs w:val="20"/>
                <w:lang w:val="en-GB"/>
              </w:rPr>
              <w:t xml:space="preserve"> report </w:t>
            </w:r>
            <w:r w:rsidR="00EE60CE">
              <w:rPr>
                <w:color w:val="002060"/>
                <w:sz w:val="20"/>
                <w:szCs w:val="20"/>
                <w:lang w:val="en-GB"/>
              </w:rPr>
              <w:t>outlining</w:t>
            </w:r>
            <w:r w:rsidR="00BC6CDF" w:rsidRPr="0015799B">
              <w:rPr>
                <w:color w:val="002060"/>
                <w:sz w:val="20"/>
                <w:szCs w:val="20"/>
                <w:lang w:val="en-GB"/>
              </w:rPr>
              <w:t xml:space="preserve"> implementation approach</w:t>
            </w:r>
            <w:r w:rsidR="00EE60CE">
              <w:rPr>
                <w:color w:val="002060"/>
                <w:sz w:val="20"/>
                <w:szCs w:val="20"/>
                <w:lang w:val="en-GB"/>
              </w:rPr>
              <w:t xml:space="preserve"> </w:t>
            </w:r>
            <w:r w:rsidR="00BC6CDF" w:rsidRPr="0015799B">
              <w:rPr>
                <w:color w:val="002060"/>
                <w:sz w:val="20"/>
                <w:szCs w:val="20"/>
                <w:lang w:val="en-GB"/>
              </w:rPr>
              <w:t>and methodology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BADBC" w14:textId="6A4E595F" w:rsidR="00BC6CDF" w:rsidRPr="0015799B" w:rsidRDefault="0022039B" w:rsidP="00B22E71">
            <w:pPr>
              <w:rPr>
                <w:color w:val="002060"/>
                <w:sz w:val="20"/>
                <w:szCs w:val="20"/>
                <w:lang w:val="en-GB"/>
              </w:rPr>
            </w:pPr>
            <w:r>
              <w:rPr>
                <w:color w:val="002060"/>
                <w:sz w:val="20"/>
                <w:szCs w:val="20"/>
                <w:lang w:val="en-GB"/>
              </w:rPr>
              <w:t>Week 1</w:t>
            </w:r>
          </w:p>
          <w:p w14:paraId="6994DC96" w14:textId="10B2EBE4" w:rsidR="00BC6CDF" w:rsidRPr="0015799B" w:rsidRDefault="00BC6CDF" w:rsidP="00B22E71">
            <w:pPr>
              <w:rPr>
                <w:color w:val="002060"/>
                <w:sz w:val="20"/>
                <w:szCs w:val="20"/>
                <w:lang w:val="en-GB"/>
              </w:rPr>
            </w:pPr>
          </w:p>
        </w:tc>
      </w:tr>
      <w:tr w:rsidR="00BC6CDF" w:rsidRPr="00E91A66" w14:paraId="5F415996" w14:textId="77777777" w:rsidTr="00EF588A">
        <w:trPr>
          <w:trHeight w:val="2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8613" w14:textId="77777777" w:rsidR="00BC6CDF" w:rsidRPr="0015799B" w:rsidRDefault="00BC6CDF" w:rsidP="00B22E71">
            <w:pPr>
              <w:rPr>
                <w:color w:val="002060"/>
                <w:sz w:val="20"/>
                <w:szCs w:val="20"/>
                <w:lang w:val="en-GB"/>
              </w:rPr>
            </w:pPr>
            <w:r w:rsidRPr="0015799B">
              <w:rPr>
                <w:color w:val="002060"/>
                <w:sz w:val="20"/>
                <w:szCs w:val="20"/>
                <w:lang w:val="en-GB"/>
              </w:rPr>
              <w:t>2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4864" w14:textId="2B2C455D" w:rsidR="00BC6CDF" w:rsidRPr="0015799B" w:rsidRDefault="00F31981" w:rsidP="00B22E71">
            <w:pPr>
              <w:rPr>
                <w:color w:val="002060"/>
                <w:sz w:val="20"/>
                <w:szCs w:val="20"/>
                <w:lang w:val="en-GB"/>
              </w:rPr>
            </w:pPr>
            <w:r>
              <w:rPr>
                <w:color w:val="002060"/>
                <w:sz w:val="20"/>
                <w:szCs w:val="20"/>
                <w:lang w:val="en-GB"/>
              </w:rPr>
              <w:t>Draft and final d</w:t>
            </w:r>
            <w:r w:rsidR="004F0587" w:rsidRPr="0015799B">
              <w:rPr>
                <w:color w:val="002060"/>
                <w:sz w:val="20"/>
                <w:szCs w:val="20"/>
                <w:lang w:val="en-GB"/>
              </w:rPr>
              <w:t xml:space="preserve">esk </w:t>
            </w:r>
            <w:r w:rsidR="0059225C" w:rsidRPr="0015799B">
              <w:rPr>
                <w:color w:val="002060"/>
                <w:sz w:val="20"/>
                <w:szCs w:val="20"/>
                <w:lang w:val="en-GB"/>
              </w:rPr>
              <w:t>study and m</w:t>
            </w:r>
            <w:r w:rsidR="004F0587" w:rsidRPr="0015799B">
              <w:rPr>
                <w:color w:val="002060"/>
                <w:sz w:val="20"/>
                <w:szCs w:val="20"/>
                <w:lang w:val="en-GB"/>
              </w:rPr>
              <w:t>arket analysis</w:t>
            </w:r>
            <w:r w:rsidR="0059225C" w:rsidRPr="0015799B">
              <w:rPr>
                <w:color w:val="002060"/>
                <w:sz w:val="20"/>
                <w:szCs w:val="20"/>
                <w:lang w:val="en-GB"/>
              </w:rPr>
              <w:t xml:space="preserve"> report</w:t>
            </w:r>
            <w:r w:rsidR="005A2375">
              <w:rPr>
                <w:color w:val="002060"/>
                <w:sz w:val="20"/>
                <w:szCs w:val="20"/>
                <w:lang w:val="en-GB"/>
              </w:rPr>
              <w:t xml:space="preserve"> submitted to SNV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C6360" w14:textId="77777777" w:rsidR="00BC6CDF" w:rsidRDefault="0022039B" w:rsidP="00B22E71">
            <w:pPr>
              <w:rPr>
                <w:color w:val="002060"/>
                <w:sz w:val="20"/>
                <w:szCs w:val="20"/>
                <w:lang w:val="en-GB"/>
              </w:rPr>
            </w:pPr>
            <w:r>
              <w:rPr>
                <w:color w:val="002060"/>
                <w:sz w:val="20"/>
                <w:szCs w:val="20"/>
                <w:lang w:val="en-GB"/>
              </w:rPr>
              <w:t xml:space="preserve">Week </w:t>
            </w:r>
            <w:r w:rsidR="005D2FAE">
              <w:rPr>
                <w:color w:val="002060"/>
                <w:sz w:val="20"/>
                <w:szCs w:val="20"/>
                <w:lang w:val="en-GB"/>
              </w:rPr>
              <w:t>8</w:t>
            </w:r>
            <w:r w:rsidR="00F31981">
              <w:rPr>
                <w:color w:val="002060"/>
                <w:sz w:val="20"/>
                <w:szCs w:val="20"/>
                <w:lang w:val="en-GB"/>
              </w:rPr>
              <w:t xml:space="preserve"> (draft)</w:t>
            </w:r>
          </w:p>
          <w:p w14:paraId="1528F4BB" w14:textId="1B43157D" w:rsidR="00F31981" w:rsidRPr="0015799B" w:rsidRDefault="00F31981" w:rsidP="00B22E71">
            <w:pPr>
              <w:rPr>
                <w:color w:val="002060"/>
                <w:sz w:val="20"/>
                <w:szCs w:val="20"/>
                <w:lang w:val="en-GB"/>
              </w:rPr>
            </w:pPr>
            <w:r>
              <w:rPr>
                <w:color w:val="002060"/>
                <w:sz w:val="20"/>
                <w:szCs w:val="20"/>
                <w:lang w:val="en-GB"/>
              </w:rPr>
              <w:t>Week 10 (final)</w:t>
            </w:r>
          </w:p>
        </w:tc>
      </w:tr>
      <w:tr w:rsidR="002F1F91" w:rsidRPr="00E91A66" w14:paraId="18DBE89B" w14:textId="77777777" w:rsidTr="00EF588A">
        <w:trPr>
          <w:trHeight w:val="1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6BD69" w14:textId="47F43778" w:rsidR="002F1F91" w:rsidRPr="0015799B" w:rsidRDefault="002F1F91" w:rsidP="002F1F91">
            <w:pPr>
              <w:rPr>
                <w:color w:val="002060"/>
                <w:sz w:val="20"/>
                <w:szCs w:val="20"/>
                <w:lang w:val="en-GB"/>
              </w:rPr>
            </w:pPr>
            <w:r w:rsidRPr="0015799B">
              <w:rPr>
                <w:color w:val="002060"/>
                <w:sz w:val="20"/>
                <w:szCs w:val="20"/>
                <w:lang w:val="en-GB"/>
              </w:rPr>
              <w:t>3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50E5" w14:textId="0F9C585B" w:rsidR="002F1F91" w:rsidRPr="0015799B" w:rsidRDefault="00EE60CE" w:rsidP="002F1F91">
            <w:pPr>
              <w:rPr>
                <w:color w:val="002060"/>
                <w:sz w:val="20"/>
                <w:szCs w:val="20"/>
                <w:lang w:val="en-GB"/>
              </w:rPr>
            </w:pPr>
            <w:r>
              <w:rPr>
                <w:color w:val="002060"/>
                <w:sz w:val="20"/>
                <w:szCs w:val="20"/>
                <w:lang w:val="en-GB"/>
              </w:rPr>
              <w:t>Stakeholder v</w:t>
            </w:r>
            <w:r w:rsidRPr="00514AA2">
              <w:rPr>
                <w:color w:val="002060"/>
                <w:sz w:val="20"/>
                <w:szCs w:val="20"/>
                <w:lang w:val="en-GB"/>
              </w:rPr>
              <w:t>alidation</w:t>
            </w:r>
            <w:r>
              <w:rPr>
                <w:color w:val="002060"/>
                <w:sz w:val="20"/>
                <w:szCs w:val="20"/>
                <w:lang w:val="en-GB"/>
              </w:rPr>
              <w:t xml:space="preserve"> of d</w:t>
            </w:r>
            <w:r w:rsidR="005A2375">
              <w:rPr>
                <w:color w:val="002060"/>
                <w:sz w:val="20"/>
                <w:szCs w:val="20"/>
                <w:lang w:val="en-GB"/>
              </w:rPr>
              <w:t xml:space="preserve">raft biofertiliser market report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51C50" w14:textId="26C21F92" w:rsidR="002F1F91" w:rsidRPr="0015799B" w:rsidRDefault="0022039B" w:rsidP="002F1F91">
            <w:pPr>
              <w:rPr>
                <w:color w:val="002060"/>
                <w:sz w:val="20"/>
                <w:szCs w:val="20"/>
                <w:lang w:val="en-GB"/>
              </w:rPr>
            </w:pPr>
            <w:r>
              <w:rPr>
                <w:color w:val="002060"/>
                <w:sz w:val="20"/>
                <w:szCs w:val="20"/>
                <w:lang w:val="en-GB"/>
              </w:rPr>
              <w:t xml:space="preserve">Week </w:t>
            </w:r>
            <w:r w:rsidR="00F31981">
              <w:rPr>
                <w:color w:val="002060"/>
                <w:sz w:val="20"/>
                <w:szCs w:val="20"/>
                <w:lang w:val="en-GB"/>
              </w:rPr>
              <w:t>11</w:t>
            </w:r>
          </w:p>
        </w:tc>
      </w:tr>
      <w:tr w:rsidR="002F1F91" w:rsidRPr="00E91A66" w14:paraId="52F653C5" w14:textId="77777777" w:rsidTr="00EF588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736FC" w14:textId="77777777" w:rsidR="002F1F91" w:rsidRPr="0015799B" w:rsidRDefault="002F1F91" w:rsidP="002F1F91">
            <w:pPr>
              <w:rPr>
                <w:color w:val="002060"/>
                <w:sz w:val="20"/>
                <w:szCs w:val="20"/>
                <w:lang w:val="en-GB"/>
              </w:rPr>
            </w:pPr>
            <w:bookmarkStart w:id="2" w:name="_Hlk63721810"/>
            <w:r w:rsidRPr="0015799B">
              <w:rPr>
                <w:color w:val="002060"/>
                <w:sz w:val="20"/>
                <w:szCs w:val="20"/>
                <w:lang w:val="en-GB"/>
              </w:rPr>
              <w:t>4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2F9F" w14:textId="6B8832AF" w:rsidR="002F1F91" w:rsidRPr="0015799B" w:rsidRDefault="002F1F91" w:rsidP="002F1F91">
            <w:pPr>
              <w:rPr>
                <w:color w:val="002060"/>
                <w:sz w:val="20"/>
                <w:szCs w:val="20"/>
                <w:lang w:val="en-GB"/>
              </w:rPr>
            </w:pPr>
            <w:r w:rsidRPr="00514AA2">
              <w:rPr>
                <w:color w:val="002060"/>
                <w:sz w:val="20"/>
                <w:szCs w:val="20"/>
                <w:lang w:val="en-GB"/>
              </w:rPr>
              <w:t xml:space="preserve">Final </w:t>
            </w:r>
            <w:r>
              <w:rPr>
                <w:color w:val="002060"/>
                <w:sz w:val="20"/>
                <w:szCs w:val="20"/>
                <w:lang w:val="en-GB"/>
              </w:rPr>
              <w:t xml:space="preserve">biofertiliser market report </w:t>
            </w:r>
            <w:r w:rsidRPr="00514AA2">
              <w:rPr>
                <w:color w:val="002060"/>
                <w:sz w:val="20"/>
                <w:szCs w:val="20"/>
                <w:lang w:val="en-GB"/>
              </w:rPr>
              <w:t>including recommendations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0CAF0" w14:textId="7C3A2EFD" w:rsidR="002F1F91" w:rsidRPr="0015799B" w:rsidRDefault="005D2FAE" w:rsidP="002F1F91">
            <w:pPr>
              <w:rPr>
                <w:color w:val="002060"/>
                <w:sz w:val="20"/>
                <w:szCs w:val="20"/>
                <w:lang w:val="en-GB"/>
              </w:rPr>
            </w:pPr>
            <w:r>
              <w:rPr>
                <w:color w:val="002060"/>
                <w:sz w:val="20"/>
                <w:szCs w:val="20"/>
                <w:lang w:val="en-GB"/>
              </w:rPr>
              <w:t>Week 1</w:t>
            </w:r>
            <w:r w:rsidR="00F31981">
              <w:rPr>
                <w:color w:val="002060"/>
                <w:sz w:val="20"/>
                <w:szCs w:val="20"/>
                <w:lang w:val="en-GB"/>
              </w:rPr>
              <w:t>2</w:t>
            </w:r>
          </w:p>
        </w:tc>
      </w:tr>
      <w:bookmarkEnd w:id="2"/>
    </w:tbl>
    <w:p w14:paraId="19640E46" w14:textId="77777777" w:rsidR="00BC6CDF" w:rsidRPr="00A732A3" w:rsidRDefault="00BC6CDF" w:rsidP="00BC6CDF">
      <w:pPr>
        <w:rPr>
          <w:b/>
          <w:color w:val="4F81BD"/>
          <w:sz w:val="20"/>
          <w:szCs w:val="20"/>
          <w:lang w:val="en-GB"/>
        </w:rPr>
      </w:pPr>
    </w:p>
    <w:p w14:paraId="422033DD" w14:textId="3F0A1C9F" w:rsidR="0062629E" w:rsidRPr="0015799B" w:rsidRDefault="00EF588A" w:rsidP="00614F8F">
      <w:pPr>
        <w:pStyle w:val="Heading2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B</w:t>
      </w:r>
      <w:r w:rsidR="000243E4" w:rsidRPr="0015799B">
        <w:rPr>
          <w:sz w:val="20"/>
          <w:szCs w:val="20"/>
          <w:lang w:val="en-GB"/>
        </w:rPr>
        <w:t xml:space="preserve">udget </w:t>
      </w:r>
      <w:r w:rsidR="0062629E" w:rsidRPr="0015799B">
        <w:rPr>
          <w:sz w:val="20"/>
          <w:szCs w:val="20"/>
          <w:lang w:val="en-GB"/>
        </w:rPr>
        <w:t>&amp; Timelines</w:t>
      </w:r>
    </w:p>
    <w:p w14:paraId="54CEF468" w14:textId="3899D4B9" w:rsidR="007577EF" w:rsidRPr="0015799B" w:rsidRDefault="00F31981" w:rsidP="007577EF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3 </w:t>
      </w:r>
      <w:r w:rsidR="007577EF" w:rsidRPr="0015799B">
        <w:rPr>
          <w:sz w:val="20"/>
          <w:szCs w:val="20"/>
          <w:lang w:val="en-GB"/>
        </w:rPr>
        <w:t xml:space="preserve">months, </w:t>
      </w:r>
      <w:r w:rsidR="00DF01A2">
        <w:rPr>
          <w:sz w:val="20"/>
          <w:szCs w:val="20"/>
          <w:lang w:val="en-GB"/>
        </w:rPr>
        <w:t xml:space="preserve">45 </w:t>
      </w:r>
      <w:r w:rsidR="00F92B4D" w:rsidRPr="0015799B">
        <w:rPr>
          <w:sz w:val="20"/>
          <w:szCs w:val="20"/>
          <w:lang w:val="en-GB"/>
        </w:rPr>
        <w:t>consultant days</w:t>
      </w:r>
    </w:p>
    <w:p w14:paraId="68728232" w14:textId="77777777" w:rsidR="0062629E" w:rsidRPr="0015799B" w:rsidRDefault="0062629E" w:rsidP="00614F8F">
      <w:pPr>
        <w:pStyle w:val="Heading2"/>
        <w:rPr>
          <w:sz w:val="20"/>
          <w:szCs w:val="20"/>
          <w:lang w:val="en-GB"/>
        </w:rPr>
      </w:pPr>
    </w:p>
    <w:p w14:paraId="0BF99AFF" w14:textId="6420E16A" w:rsidR="0062629E" w:rsidRPr="0015799B" w:rsidRDefault="0062629E" w:rsidP="00614F8F">
      <w:pPr>
        <w:pStyle w:val="Heading2"/>
        <w:rPr>
          <w:sz w:val="20"/>
          <w:szCs w:val="20"/>
          <w:lang w:val="en-GB"/>
        </w:rPr>
      </w:pPr>
      <w:r w:rsidRPr="0015799B">
        <w:rPr>
          <w:sz w:val="20"/>
          <w:szCs w:val="20"/>
          <w:lang w:val="en-GB"/>
        </w:rPr>
        <w:t>Requirements</w:t>
      </w:r>
    </w:p>
    <w:p w14:paraId="5C7498D1" w14:textId="3A67FAAE" w:rsidR="00F92B4D" w:rsidRDefault="001340AF" w:rsidP="00F92B4D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Ten years </w:t>
      </w:r>
      <w:r w:rsidR="00F12D54">
        <w:rPr>
          <w:sz w:val="20"/>
          <w:szCs w:val="20"/>
          <w:lang w:val="en-GB"/>
        </w:rPr>
        <w:t xml:space="preserve">or above experience in </w:t>
      </w:r>
      <w:r w:rsidR="003D6403">
        <w:rPr>
          <w:sz w:val="20"/>
          <w:szCs w:val="20"/>
          <w:lang w:val="en-GB"/>
        </w:rPr>
        <w:t>agriculture</w:t>
      </w:r>
      <w:r w:rsidR="00F12D54">
        <w:rPr>
          <w:sz w:val="20"/>
          <w:szCs w:val="20"/>
          <w:lang w:val="en-GB"/>
        </w:rPr>
        <w:t xml:space="preserve"> of which at least </w:t>
      </w:r>
      <w:r w:rsidR="003D6403">
        <w:rPr>
          <w:sz w:val="20"/>
          <w:szCs w:val="20"/>
          <w:lang w:val="en-GB"/>
        </w:rPr>
        <w:t xml:space="preserve">five </w:t>
      </w:r>
      <w:r w:rsidR="00F12D54">
        <w:rPr>
          <w:sz w:val="20"/>
          <w:szCs w:val="20"/>
          <w:lang w:val="en-GB"/>
        </w:rPr>
        <w:t>years e</w:t>
      </w:r>
      <w:r w:rsidR="00F92B4D" w:rsidRPr="0015799B">
        <w:rPr>
          <w:sz w:val="20"/>
          <w:szCs w:val="20"/>
          <w:lang w:val="en-GB"/>
        </w:rPr>
        <w:t xml:space="preserve">xpertise </w:t>
      </w:r>
      <w:r w:rsidR="00F12D54">
        <w:rPr>
          <w:sz w:val="20"/>
          <w:szCs w:val="20"/>
          <w:lang w:val="en-GB"/>
        </w:rPr>
        <w:t>with the</w:t>
      </w:r>
      <w:r w:rsidR="00F92B4D" w:rsidRPr="0015799B">
        <w:rPr>
          <w:sz w:val="20"/>
          <w:szCs w:val="20"/>
          <w:lang w:val="en-GB"/>
        </w:rPr>
        <w:t xml:space="preserve"> </w:t>
      </w:r>
      <w:r w:rsidR="003D6403">
        <w:rPr>
          <w:sz w:val="20"/>
          <w:szCs w:val="20"/>
          <w:lang w:val="en-GB"/>
        </w:rPr>
        <w:t xml:space="preserve">organic </w:t>
      </w:r>
      <w:r w:rsidR="00F92B4D" w:rsidRPr="0015799B">
        <w:rPr>
          <w:sz w:val="20"/>
          <w:szCs w:val="20"/>
          <w:lang w:val="en-GB"/>
        </w:rPr>
        <w:t>fertiliser sector</w:t>
      </w:r>
      <w:r w:rsidR="00F12D54">
        <w:rPr>
          <w:sz w:val="20"/>
          <w:szCs w:val="20"/>
          <w:lang w:val="en-GB"/>
        </w:rPr>
        <w:t xml:space="preserve">, </w:t>
      </w:r>
      <w:r w:rsidR="00283CA2">
        <w:rPr>
          <w:sz w:val="20"/>
          <w:szCs w:val="20"/>
          <w:lang w:val="en-GB"/>
        </w:rPr>
        <w:t xml:space="preserve">with demonstratable interactions with the </w:t>
      </w:r>
      <w:r w:rsidR="00F12D54">
        <w:rPr>
          <w:sz w:val="20"/>
          <w:szCs w:val="20"/>
          <w:lang w:val="en-GB"/>
        </w:rPr>
        <w:t>private sector</w:t>
      </w:r>
      <w:r w:rsidR="00283CA2">
        <w:rPr>
          <w:sz w:val="20"/>
          <w:szCs w:val="20"/>
          <w:lang w:val="en-GB"/>
        </w:rPr>
        <w:t>.</w:t>
      </w:r>
      <w:r w:rsidR="0061081C">
        <w:rPr>
          <w:sz w:val="20"/>
          <w:szCs w:val="20"/>
          <w:lang w:val="en-GB"/>
        </w:rPr>
        <w:t xml:space="preserve"> The applicant should have research </w:t>
      </w:r>
      <w:r w:rsidR="003D6403">
        <w:rPr>
          <w:sz w:val="20"/>
          <w:szCs w:val="20"/>
          <w:lang w:val="en-GB"/>
        </w:rPr>
        <w:t xml:space="preserve">and analysis </w:t>
      </w:r>
      <w:r w:rsidR="0061081C">
        <w:rPr>
          <w:sz w:val="20"/>
          <w:szCs w:val="20"/>
          <w:lang w:val="en-GB"/>
        </w:rPr>
        <w:t>experience as well as practical field experience in rural Zambia (for example in an NGO context)</w:t>
      </w:r>
      <w:r w:rsidR="009E1703">
        <w:rPr>
          <w:sz w:val="20"/>
          <w:szCs w:val="20"/>
          <w:lang w:val="en-GB"/>
        </w:rPr>
        <w:t>.</w:t>
      </w:r>
      <w:r w:rsidR="00187573">
        <w:rPr>
          <w:sz w:val="20"/>
          <w:szCs w:val="20"/>
          <w:lang w:val="en-GB"/>
        </w:rPr>
        <w:t xml:space="preserve"> The assignment is open to both national and international candidates</w:t>
      </w:r>
      <w:r w:rsidR="00883FEF">
        <w:rPr>
          <w:sz w:val="20"/>
          <w:szCs w:val="20"/>
          <w:lang w:val="en-GB"/>
        </w:rPr>
        <w:t>.</w:t>
      </w:r>
    </w:p>
    <w:p w14:paraId="140BB559" w14:textId="2038DC1E" w:rsidR="00883FEF" w:rsidRDefault="00883FEF" w:rsidP="00F92B4D">
      <w:pPr>
        <w:rPr>
          <w:sz w:val="20"/>
          <w:szCs w:val="20"/>
          <w:lang w:val="en-GB"/>
        </w:rPr>
      </w:pPr>
    </w:p>
    <w:p w14:paraId="40613AFF" w14:textId="3849F244" w:rsidR="00883FEF" w:rsidRDefault="00883FEF" w:rsidP="00F92B4D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Applicants are requested to submit </w:t>
      </w:r>
      <w:r w:rsidR="00333C90">
        <w:rPr>
          <w:sz w:val="20"/>
          <w:szCs w:val="20"/>
          <w:lang w:val="en-GB"/>
        </w:rPr>
        <w:t xml:space="preserve">a cover letter, </w:t>
      </w:r>
      <w:r w:rsidR="00F74954">
        <w:rPr>
          <w:sz w:val="20"/>
          <w:szCs w:val="20"/>
          <w:lang w:val="en-GB"/>
        </w:rPr>
        <w:t>CV</w:t>
      </w:r>
      <w:r w:rsidR="003D6403">
        <w:rPr>
          <w:sz w:val="20"/>
          <w:szCs w:val="20"/>
          <w:lang w:val="en-GB"/>
        </w:rPr>
        <w:t>,</w:t>
      </w:r>
      <w:r w:rsidR="00F74954">
        <w:rPr>
          <w:sz w:val="20"/>
          <w:szCs w:val="20"/>
          <w:lang w:val="en-GB"/>
        </w:rPr>
        <w:t xml:space="preserve"> </w:t>
      </w:r>
      <w:r w:rsidR="00333C90">
        <w:rPr>
          <w:sz w:val="20"/>
          <w:szCs w:val="20"/>
          <w:lang w:val="en-GB"/>
        </w:rPr>
        <w:t xml:space="preserve">proposal </w:t>
      </w:r>
      <w:r w:rsidR="00B06ADD">
        <w:rPr>
          <w:sz w:val="20"/>
          <w:szCs w:val="20"/>
          <w:lang w:val="en-GB"/>
        </w:rPr>
        <w:t xml:space="preserve">(less than 6 pages) </w:t>
      </w:r>
      <w:r w:rsidR="00333C90">
        <w:rPr>
          <w:sz w:val="20"/>
          <w:szCs w:val="20"/>
          <w:lang w:val="en-GB"/>
        </w:rPr>
        <w:t xml:space="preserve">and </w:t>
      </w:r>
      <w:r w:rsidR="003D6403">
        <w:rPr>
          <w:sz w:val="20"/>
          <w:szCs w:val="20"/>
          <w:lang w:val="en-GB"/>
        </w:rPr>
        <w:t>budget</w:t>
      </w:r>
      <w:r w:rsidR="00F74954">
        <w:rPr>
          <w:sz w:val="20"/>
          <w:szCs w:val="20"/>
          <w:lang w:val="en-GB"/>
        </w:rPr>
        <w:t>.</w:t>
      </w:r>
      <w:r w:rsidR="003D6403">
        <w:rPr>
          <w:sz w:val="20"/>
          <w:szCs w:val="20"/>
          <w:lang w:val="en-GB"/>
        </w:rPr>
        <w:t xml:space="preserve"> </w:t>
      </w:r>
    </w:p>
    <w:p w14:paraId="2246F731" w14:textId="1785CA66" w:rsidR="003D6403" w:rsidRDefault="003D6403" w:rsidP="00F92B4D">
      <w:pPr>
        <w:rPr>
          <w:sz w:val="20"/>
          <w:szCs w:val="20"/>
          <w:lang w:val="en-GB"/>
        </w:rPr>
      </w:pPr>
    </w:p>
    <w:p w14:paraId="733BF02D" w14:textId="77777777" w:rsidR="00D049F5" w:rsidRDefault="003D6403" w:rsidP="00F92B4D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proposal needs to outline </w:t>
      </w:r>
    </w:p>
    <w:p w14:paraId="1FE17E64" w14:textId="77777777" w:rsidR="00D049F5" w:rsidRDefault="003D6403" w:rsidP="00D049F5">
      <w:pPr>
        <w:pStyle w:val="ListParagraph"/>
        <w:numPr>
          <w:ilvl w:val="0"/>
          <w:numId w:val="2"/>
        </w:numPr>
        <w:rPr>
          <w:sz w:val="20"/>
          <w:szCs w:val="20"/>
          <w:lang w:val="en-GB"/>
        </w:rPr>
      </w:pPr>
      <w:r w:rsidRPr="009C7C3D">
        <w:rPr>
          <w:sz w:val="20"/>
          <w:szCs w:val="20"/>
          <w:lang w:val="en-GB"/>
        </w:rPr>
        <w:t>the understanding of these Terms of Reference</w:t>
      </w:r>
    </w:p>
    <w:p w14:paraId="373766E2" w14:textId="5D76F781" w:rsidR="00D049F5" w:rsidRDefault="005553F1" w:rsidP="00D049F5">
      <w:pPr>
        <w:pStyle w:val="ListParagraph"/>
        <w:numPr>
          <w:ilvl w:val="0"/>
          <w:numId w:val="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proposed </w:t>
      </w:r>
      <w:r w:rsidR="00D049F5">
        <w:rPr>
          <w:sz w:val="20"/>
          <w:szCs w:val="20"/>
          <w:lang w:val="en-GB"/>
        </w:rPr>
        <w:t xml:space="preserve">research </w:t>
      </w:r>
      <w:r w:rsidR="00D049F5" w:rsidRPr="009C7C3D">
        <w:rPr>
          <w:sz w:val="20"/>
          <w:szCs w:val="20"/>
          <w:lang w:val="en-GB"/>
        </w:rPr>
        <w:t>methodology</w:t>
      </w:r>
    </w:p>
    <w:p w14:paraId="73376794" w14:textId="3F18B16A" w:rsidR="00D049F5" w:rsidRDefault="005553F1" w:rsidP="00D049F5">
      <w:pPr>
        <w:pStyle w:val="ListParagraph"/>
        <w:numPr>
          <w:ilvl w:val="0"/>
          <w:numId w:val="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 </w:t>
      </w:r>
      <w:r w:rsidR="00D049F5" w:rsidRPr="009C7C3D">
        <w:rPr>
          <w:sz w:val="20"/>
          <w:szCs w:val="20"/>
          <w:lang w:val="en-GB"/>
        </w:rPr>
        <w:t xml:space="preserve">detailed work </w:t>
      </w:r>
      <w:proofErr w:type="gramStart"/>
      <w:r w:rsidR="00D049F5" w:rsidRPr="009C7C3D">
        <w:rPr>
          <w:sz w:val="20"/>
          <w:szCs w:val="20"/>
          <w:lang w:val="en-GB"/>
        </w:rPr>
        <w:t>plan</w:t>
      </w:r>
      <w:proofErr w:type="gramEnd"/>
      <w:r w:rsidR="00D049F5" w:rsidRPr="009C7C3D">
        <w:rPr>
          <w:sz w:val="20"/>
          <w:szCs w:val="20"/>
          <w:lang w:val="en-GB"/>
        </w:rPr>
        <w:t xml:space="preserve"> </w:t>
      </w:r>
    </w:p>
    <w:p w14:paraId="65BF3903" w14:textId="420B7E1C" w:rsidR="00D049F5" w:rsidRDefault="005553F1" w:rsidP="00D049F5">
      <w:pPr>
        <w:pStyle w:val="ListParagraph"/>
        <w:numPr>
          <w:ilvl w:val="0"/>
          <w:numId w:val="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offer a </w:t>
      </w:r>
      <w:r w:rsidR="00D049F5" w:rsidRPr="009C7C3D">
        <w:rPr>
          <w:sz w:val="20"/>
          <w:szCs w:val="20"/>
          <w:lang w:val="en-GB"/>
        </w:rPr>
        <w:t>draft report outline</w:t>
      </w:r>
      <w:r>
        <w:rPr>
          <w:sz w:val="20"/>
          <w:szCs w:val="20"/>
          <w:lang w:val="en-GB"/>
        </w:rPr>
        <w:t>.</w:t>
      </w:r>
    </w:p>
    <w:p w14:paraId="6D2558F9" w14:textId="77777777" w:rsidR="00D049F5" w:rsidRDefault="00D049F5" w:rsidP="00D049F5">
      <w:pPr>
        <w:rPr>
          <w:sz w:val="20"/>
          <w:szCs w:val="20"/>
          <w:lang w:val="en-GB"/>
        </w:rPr>
      </w:pPr>
    </w:p>
    <w:p w14:paraId="02B27C5B" w14:textId="02E996CC" w:rsidR="003D6403" w:rsidRPr="009C7C3D" w:rsidRDefault="00D049F5">
      <w:pPr>
        <w:rPr>
          <w:sz w:val="20"/>
          <w:szCs w:val="20"/>
          <w:lang w:val="en-GB"/>
        </w:rPr>
      </w:pPr>
      <w:r w:rsidRPr="009C7C3D">
        <w:rPr>
          <w:sz w:val="20"/>
          <w:szCs w:val="20"/>
          <w:lang w:val="en-GB"/>
        </w:rPr>
        <w:t xml:space="preserve">The budget needs to </w:t>
      </w:r>
      <w:r>
        <w:rPr>
          <w:sz w:val="20"/>
          <w:szCs w:val="20"/>
          <w:lang w:val="en-GB"/>
        </w:rPr>
        <w:t xml:space="preserve">break down </w:t>
      </w:r>
      <w:r w:rsidRPr="009C7C3D">
        <w:rPr>
          <w:sz w:val="20"/>
          <w:szCs w:val="20"/>
          <w:lang w:val="en-GB"/>
        </w:rPr>
        <w:t>the allocation of time against work plan components</w:t>
      </w:r>
      <w:r w:rsidR="005553F1">
        <w:rPr>
          <w:sz w:val="20"/>
          <w:szCs w:val="20"/>
          <w:lang w:val="en-GB"/>
        </w:rPr>
        <w:t xml:space="preserve"> and state the daily consultant rate applied</w:t>
      </w:r>
      <w:r w:rsidRPr="009C7C3D">
        <w:rPr>
          <w:sz w:val="20"/>
          <w:szCs w:val="20"/>
          <w:lang w:val="en-GB"/>
        </w:rPr>
        <w:t xml:space="preserve">. </w:t>
      </w:r>
    </w:p>
    <w:sectPr w:rsidR="003D6403" w:rsidRPr="009C7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1124"/>
    <w:multiLevelType w:val="hybridMultilevel"/>
    <w:tmpl w:val="4F222F5C"/>
    <w:lvl w:ilvl="0" w:tplc="EB5A7F1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D2A2F"/>
    <w:multiLevelType w:val="hybridMultilevel"/>
    <w:tmpl w:val="F1E6A596"/>
    <w:lvl w:ilvl="0" w:tplc="FB64BCC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61FD1"/>
    <w:multiLevelType w:val="hybridMultilevel"/>
    <w:tmpl w:val="7B968A7C"/>
    <w:lvl w:ilvl="0" w:tplc="EB5A7F1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04F14"/>
    <w:multiLevelType w:val="hybridMultilevel"/>
    <w:tmpl w:val="E30C05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A775E4"/>
    <w:multiLevelType w:val="hybridMultilevel"/>
    <w:tmpl w:val="BAD64DA6"/>
    <w:lvl w:ilvl="0" w:tplc="521C9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9E"/>
    <w:rsid w:val="00006C6F"/>
    <w:rsid w:val="000243E4"/>
    <w:rsid w:val="000346B2"/>
    <w:rsid w:val="00047A7C"/>
    <w:rsid w:val="00052B52"/>
    <w:rsid w:val="00055722"/>
    <w:rsid w:val="0006351E"/>
    <w:rsid w:val="00075B01"/>
    <w:rsid w:val="00077D39"/>
    <w:rsid w:val="00086F82"/>
    <w:rsid w:val="00090819"/>
    <w:rsid w:val="000A324D"/>
    <w:rsid w:val="000B31C9"/>
    <w:rsid w:val="000B335C"/>
    <w:rsid w:val="000C5EC5"/>
    <w:rsid w:val="000D4BC4"/>
    <w:rsid w:val="000D62DC"/>
    <w:rsid w:val="000E2955"/>
    <w:rsid w:val="000E2A62"/>
    <w:rsid w:val="000F4179"/>
    <w:rsid w:val="00103E00"/>
    <w:rsid w:val="00107AA5"/>
    <w:rsid w:val="001167D4"/>
    <w:rsid w:val="00123494"/>
    <w:rsid w:val="00124D51"/>
    <w:rsid w:val="00124E99"/>
    <w:rsid w:val="00125D1A"/>
    <w:rsid w:val="001340AF"/>
    <w:rsid w:val="0013588F"/>
    <w:rsid w:val="001360CD"/>
    <w:rsid w:val="00156F11"/>
    <w:rsid w:val="0015799B"/>
    <w:rsid w:val="00172166"/>
    <w:rsid w:val="00187573"/>
    <w:rsid w:val="001977ED"/>
    <w:rsid w:val="001D2023"/>
    <w:rsid w:val="001D5FFC"/>
    <w:rsid w:val="001E3AA9"/>
    <w:rsid w:val="001F20CE"/>
    <w:rsid w:val="0021697A"/>
    <w:rsid w:val="0022039B"/>
    <w:rsid w:val="002261BB"/>
    <w:rsid w:val="00226F73"/>
    <w:rsid w:val="0024030A"/>
    <w:rsid w:val="00243A39"/>
    <w:rsid w:val="002440B0"/>
    <w:rsid w:val="00250702"/>
    <w:rsid w:val="0027105B"/>
    <w:rsid w:val="00283CA2"/>
    <w:rsid w:val="00294D51"/>
    <w:rsid w:val="0029773F"/>
    <w:rsid w:val="002A33C3"/>
    <w:rsid w:val="002B058F"/>
    <w:rsid w:val="002C0041"/>
    <w:rsid w:val="002E1BBF"/>
    <w:rsid w:val="002E4508"/>
    <w:rsid w:val="002F1F91"/>
    <w:rsid w:val="003044BA"/>
    <w:rsid w:val="0030618C"/>
    <w:rsid w:val="00314962"/>
    <w:rsid w:val="00315B79"/>
    <w:rsid w:val="003231CC"/>
    <w:rsid w:val="00333C90"/>
    <w:rsid w:val="00351C63"/>
    <w:rsid w:val="003602CC"/>
    <w:rsid w:val="00362A79"/>
    <w:rsid w:val="00366E4F"/>
    <w:rsid w:val="00370278"/>
    <w:rsid w:val="00375102"/>
    <w:rsid w:val="003856A2"/>
    <w:rsid w:val="003970B0"/>
    <w:rsid w:val="003A3627"/>
    <w:rsid w:val="003A3DAB"/>
    <w:rsid w:val="003B66CC"/>
    <w:rsid w:val="003D6403"/>
    <w:rsid w:val="003F1224"/>
    <w:rsid w:val="003F2687"/>
    <w:rsid w:val="004122A2"/>
    <w:rsid w:val="00412EA7"/>
    <w:rsid w:val="004161FA"/>
    <w:rsid w:val="004275F0"/>
    <w:rsid w:val="00435531"/>
    <w:rsid w:val="004463BE"/>
    <w:rsid w:val="00452879"/>
    <w:rsid w:val="004568D9"/>
    <w:rsid w:val="00457A9C"/>
    <w:rsid w:val="00461095"/>
    <w:rsid w:val="0047550E"/>
    <w:rsid w:val="004855B1"/>
    <w:rsid w:val="004A45FD"/>
    <w:rsid w:val="004B1684"/>
    <w:rsid w:val="004B2E35"/>
    <w:rsid w:val="004B4EF9"/>
    <w:rsid w:val="004C09BD"/>
    <w:rsid w:val="004C1990"/>
    <w:rsid w:val="004C4C0B"/>
    <w:rsid w:val="004F0334"/>
    <w:rsid w:val="004F0587"/>
    <w:rsid w:val="004F2A86"/>
    <w:rsid w:val="0051378E"/>
    <w:rsid w:val="00514746"/>
    <w:rsid w:val="00520716"/>
    <w:rsid w:val="00523C42"/>
    <w:rsid w:val="00534924"/>
    <w:rsid w:val="005553F1"/>
    <w:rsid w:val="0056241D"/>
    <w:rsid w:val="0057091D"/>
    <w:rsid w:val="005804F1"/>
    <w:rsid w:val="0058560C"/>
    <w:rsid w:val="00591404"/>
    <w:rsid w:val="0059225C"/>
    <w:rsid w:val="005955B6"/>
    <w:rsid w:val="005A2375"/>
    <w:rsid w:val="005B4142"/>
    <w:rsid w:val="005C0A88"/>
    <w:rsid w:val="005C2BEC"/>
    <w:rsid w:val="005C3D7F"/>
    <w:rsid w:val="005D2FAE"/>
    <w:rsid w:val="005D51CA"/>
    <w:rsid w:val="005F4557"/>
    <w:rsid w:val="005F5A83"/>
    <w:rsid w:val="006023E8"/>
    <w:rsid w:val="006073FF"/>
    <w:rsid w:val="0061081C"/>
    <w:rsid w:val="00614135"/>
    <w:rsid w:val="00614F8F"/>
    <w:rsid w:val="00622BB0"/>
    <w:rsid w:val="00623648"/>
    <w:rsid w:val="0062629E"/>
    <w:rsid w:val="00636365"/>
    <w:rsid w:val="00640D4C"/>
    <w:rsid w:val="0065036C"/>
    <w:rsid w:val="00660C92"/>
    <w:rsid w:val="0067513C"/>
    <w:rsid w:val="00675B17"/>
    <w:rsid w:val="006936A0"/>
    <w:rsid w:val="006C4A11"/>
    <w:rsid w:val="006E1CAA"/>
    <w:rsid w:val="006F104F"/>
    <w:rsid w:val="006F3CA3"/>
    <w:rsid w:val="00702716"/>
    <w:rsid w:val="00714964"/>
    <w:rsid w:val="00717192"/>
    <w:rsid w:val="00740211"/>
    <w:rsid w:val="00746EF3"/>
    <w:rsid w:val="007521B5"/>
    <w:rsid w:val="007546F3"/>
    <w:rsid w:val="007577EF"/>
    <w:rsid w:val="00771D1E"/>
    <w:rsid w:val="00773642"/>
    <w:rsid w:val="0078262F"/>
    <w:rsid w:val="00787476"/>
    <w:rsid w:val="007A6A17"/>
    <w:rsid w:val="007C122F"/>
    <w:rsid w:val="007C21BF"/>
    <w:rsid w:val="007D03AB"/>
    <w:rsid w:val="007E345F"/>
    <w:rsid w:val="0082015E"/>
    <w:rsid w:val="008271D9"/>
    <w:rsid w:val="008436D3"/>
    <w:rsid w:val="00850CDF"/>
    <w:rsid w:val="008626C5"/>
    <w:rsid w:val="00862B9B"/>
    <w:rsid w:val="00865881"/>
    <w:rsid w:val="00865E81"/>
    <w:rsid w:val="00883FEF"/>
    <w:rsid w:val="008952DB"/>
    <w:rsid w:val="00897A49"/>
    <w:rsid w:val="008B2163"/>
    <w:rsid w:val="008E146B"/>
    <w:rsid w:val="008F4C7C"/>
    <w:rsid w:val="00900C36"/>
    <w:rsid w:val="00906132"/>
    <w:rsid w:val="00911D6E"/>
    <w:rsid w:val="00934759"/>
    <w:rsid w:val="009348B9"/>
    <w:rsid w:val="009445E0"/>
    <w:rsid w:val="0094706C"/>
    <w:rsid w:val="009545E3"/>
    <w:rsid w:val="009550B6"/>
    <w:rsid w:val="00955801"/>
    <w:rsid w:val="009558DF"/>
    <w:rsid w:val="00961F4B"/>
    <w:rsid w:val="00964B31"/>
    <w:rsid w:val="00965DB6"/>
    <w:rsid w:val="00980698"/>
    <w:rsid w:val="009821B1"/>
    <w:rsid w:val="00982905"/>
    <w:rsid w:val="0099170F"/>
    <w:rsid w:val="00995EEB"/>
    <w:rsid w:val="009A0726"/>
    <w:rsid w:val="009A11E2"/>
    <w:rsid w:val="009A1262"/>
    <w:rsid w:val="009B629D"/>
    <w:rsid w:val="009C4E06"/>
    <w:rsid w:val="009C761F"/>
    <w:rsid w:val="009C7C3D"/>
    <w:rsid w:val="009D1362"/>
    <w:rsid w:val="009E1703"/>
    <w:rsid w:val="009F77CA"/>
    <w:rsid w:val="00A02503"/>
    <w:rsid w:val="00A06BA5"/>
    <w:rsid w:val="00A0758B"/>
    <w:rsid w:val="00A13479"/>
    <w:rsid w:val="00A15909"/>
    <w:rsid w:val="00A219F3"/>
    <w:rsid w:val="00A30ABB"/>
    <w:rsid w:val="00A46784"/>
    <w:rsid w:val="00A54F6C"/>
    <w:rsid w:val="00A671F4"/>
    <w:rsid w:val="00A732A3"/>
    <w:rsid w:val="00A90EDD"/>
    <w:rsid w:val="00A91AE6"/>
    <w:rsid w:val="00AA6386"/>
    <w:rsid w:val="00AD419C"/>
    <w:rsid w:val="00AD4D56"/>
    <w:rsid w:val="00AD6889"/>
    <w:rsid w:val="00AD6AC9"/>
    <w:rsid w:val="00AE67C7"/>
    <w:rsid w:val="00AF4525"/>
    <w:rsid w:val="00B06ADD"/>
    <w:rsid w:val="00B12E9B"/>
    <w:rsid w:val="00B13A2A"/>
    <w:rsid w:val="00B16646"/>
    <w:rsid w:val="00B17298"/>
    <w:rsid w:val="00B22E71"/>
    <w:rsid w:val="00B339D0"/>
    <w:rsid w:val="00B45D15"/>
    <w:rsid w:val="00B55164"/>
    <w:rsid w:val="00B64696"/>
    <w:rsid w:val="00B72FCD"/>
    <w:rsid w:val="00B77529"/>
    <w:rsid w:val="00B875DA"/>
    <w:rsid w:val="00B9004C"/>
    <w:rsid w:val="00B90EF9"/>
    <w:rsid w:val="00B91B1B"/>
    <w:rsid w:val="00B938CD"/>
    <w:rsid w:val="00BA5FCD"/>
    <w:rsid w:val="00BC6CDF"/>
    <w:rsid w:val="00BC7224"/>
    <w:rsid w:val="00BD0A66"/>
    <w:rsid w:val="00BD0AC8"/>
    <w:rsid w:val="00BD4402"/>
    <w:rsid w:val="00BD7B3D"/>
    <w:rsid w:val="00BF1274"/>
    <w:rsid w:val="00C0350F"/>
    <w:rsid w:val="00C40FD5"/>
    <w:rsid w:val="00C43DBD"/>
    <w:rsid w:val="00C551D3"/>
    <w:rsid w:val="00C57D59"/>
    <w:rsid w:val="00C61017"/>
    <w:rsid w:val="00C731B8"/>
    <w:rsid w:val="00C95D95"/>
    <w:rsid w:val="00C96E1A"/>
    <w:rsid w:val="00CA03B8"/>
    <w:rsid w:val="00CB0DC3"/>
    <w:rsid w:val="00CB53E2"/>
    <w:rsid w:val="00CF1DBF"/>
    <w:rsid w:val="00CF53B4"/>
    <w:rsid w:val="00D049F5"/>
    <w:rsid w:val="00D062EE"/>
    <w:rsid w:val="00D11B81"/>
    <w:rsid w:val="00D22769"/>
    <w:rsid w:val="00D54BF7"/>
    <w:rsid w:val="00D62307"/>
    <w:rsid w:val="00D834A9"/>
    <w:rsid w:val="00D8785D"/>
    <w:rsid w:val="00D97154"/>
    <w:rsid w:val="00DB003E"/>
    <w:rsid w:val="00DB1AEE"/>
    <w:rsid w:val="00DB1C07"/>
    <w:rsid w:val="00DC094F"/>
    <w:rsid w:val="00DC1F42"/>
    <w:rsid w:val="00DD0B2D"/>
    <w:rsid w:val="00DE051D"/>
    <w:rsid w:val="00DE138D"/>
    <w:rsid w:val="00DF01A2"/>
    <w:rsid w:val="00E03135"/>
    <w:rsid w:val="00E0443D"/>
    <w:rsid w:val="00E33DA8"/>
    <w:rsid w:val="00E35BAE"/>
    <w:rsid w:val="00E5701D"/>
    <w:rsid w:val="00E57119"/>
    <w:rsid w:val="00E606CC"/>
    <w:rsid w:val="00E8637D"/>
    <w:rsid w:val="00E91A66"/>
    <w:rsid w:val="00EA1F1D"/>
    <w:rsid w:val="00EA2AB2"/>
    <w:rsid w:val="00EB4237"/>
    <w:rsid w:val="00EC71C7"/>
    <w:rsid w:val="00EC7D02"/>
    <w:rsid w:val="00EE1F94"/>
    <w:rsid w:val="00EE3297"/>
    <w:rsid w:val="00EE60CE"/>
    <w:rsid w:val="00EE68A3"/>
    <w:rsid w:val="00EF2AC5"/>
    <w:rsid w:val="00EF2E19"/>
    <w:rsid w:val="00EF588A"/>
    <w:rsid w:val="00EF7AEB"/>
    <w:rsid w:val="00F12D54"/>
    <w:rsid w:val="00F303E9"/>
    <w:rsid w:val="00F31981"/>
    <w:rsid w:val="00F34CEE"/>
    <w:rsid w:val="00F3652C"/>
    <w:rsid w:val="00F63114"/>
    <w:rsid w:val="00F74954"/>
    <w:rsid w:val="00F778EA"/>
    <w:rsid w:val="00F92B4D"/>
    <w:rsid w:val="00FE1630"/>
    <w:rsid w:val="00FE4A9F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7F3CC"/>
  <w15:chartTrackingRefBased/>
  <w15:docId w15:val="{6DD34D19-BEC7-4ADF-AD20-9714DFFA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1CC"/>
    <w:pPr>
      <w:spacing w:after="0"/>
    </w:pPr>
    <w:rPr>
      <w:rFonts w:ascii="Verdana" w:hAnsi="Verdana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BEC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BE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BEC"/>
    <w:pPr>
      <w:spacing w:after="0" w:line="240" w:lineRule="auto"/>
    </w:pPr>
    <w:rPr>
      <w:rFonts w:ascii="Verdana" w:hAnsi="Verdana"/>
      <w:sz w:val="17"/>
    </w:rPr>
  </w:style>
  <w:style w:type="character" w:customStyle="1" w:styleId="Heading1Char">
    <w:name w:val="Heading 1 Char"/>
    <w:basedOn w:val="DefaultParagraphFont"/>
    <w:link w:val="Heading1"/>
    <w:uiPriority w:val="9"/>
    <w:rsid w:val="005C2BEC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2BEC"/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C2BEC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BEC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BE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C2BEC"/>
    <w:rPr>
      <w:rFonts w:ascii="Verdana" w:eastAsiaTheme="minorEastAsia" w:hAnsi="Verdan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C2BEC"/>
    <w:rPr>
      <w:rFonts w:ascii="Verdana" w:hAnsi="Verdana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C2BEC"/>
    <w:rPr>
      <w:rFonts w:ascii="Verdana" w:hAnsi="Verdana"/>
      <w:i/>
      <w:iCs/>
    </w:rPr>
  </w:style>
  <w:style w:type="table" w:styleId="TableGrid">
    <w:name w:val="Table Grid"/>
    <w:basedOn w:val="TableNormal"/>
    <w:uiPriority w:val="39"/>
    <w:rsid w:val="005C2BEC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sz w:val="17"/>
      </w:rPr>
      <w:tblPr/>
      <w:tcPr>
        <w:shd w:val="clear" w:color="auto" w:fill="00B0F0"/>
      </w:tcPr>
    </w:tblStylePr>
  </w:style>
  <w:style w:type="paragraph" w:styleId="ListParagraph">
    <w:name w:val="List Paragraph"/>
    <w:basedOn w:val="Normal"/>
    <w:uiPriority w:val="34"/>
    <w:qFormat/>
    <w:rsid w:val="002977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5B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B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6469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1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A66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A66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669457073427027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CA507-95AE-4F91-9694-624582A0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SNV Netherlands Development Organisation</Company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Hounsell, Susanne</dc:creator>
  <cp:keywords/>
  <dc:description/>
  <cp:lastModifiedBy>Mubanga, Sarah</cp:lastModifiedBy>
  <cp:revision>2</cp:revision>
  <dcterms:created xsi:type="dcterms:W3CDTF">2021-06-21T07:26:00Z</dcterms:created>
  <dcterms:modified xsi:type="dcterms:W3CDTF">2021-06-21T07:26:00Z</dcterms:modified>
</cp:coreProperties>
</file>